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E0A11" w14:textId="7655FA2B" w:rsidR="0088497A" w:rsidRPr="00CA31FC" w:rsidRDefault="001742B1" w:rsidP="00CA31FC">
      <w:pPr>
        <w:spacing w:after="0" w:line="240" w:lineRule="auto"/>
        <w:rPr>
          <w:rFonts w:ascii="Verdana" w:hAnsi="Verdana" w:cs="Times New Roman"/>
          <w:color w:val="000000"/>
          <w:sz w:val="24"/>
          <w:szCs w:val="20"/>
          <w:shd w:val="clear" w:color="auto" w:fill="FFFFFF"/>
          <w:lang w:val="en-GB"/>
        </w:rPr>
      </w:pPr>
      <w:r w:rsidRPr="00CA31FC">
        <w:rPr>
          <w:rFonts w:ascii="Verdana" w:hAnsi="Verdana" w:cs="Times New Roman"/>
          <w:color w:val="000000"/>
          <w:sz w:val="24"/>
          <w:szCs w:val="20"/>
          <w:shd w:val="clear" w:color="auto" w:fill="FFFFFF"/>
          <w:lang w:val="en-GB"/>
        </w:rPr>
        <w:t xml:space="preserve">Organic Farms and Agricultural GHG </w:t>
      </w:r>
      <w:r w:rsidR="00CF706C" w:rsidRPr="00CA31FC">
        <w:rPr>
          <w:rFonts w:ascii="Verdana" w:hAnsi="Verdana" w:cs="Times New Roman"/>
          <w:color w:val="000000"/>
          <w:sz w:val="24"/>
          <w:szCs w:val="20"/>
          <w:shd w:val="clear" w:color="auto" w:fill="FFFFFF"/>
          <w:lang w:val="en-GB"/>
        </w:rPr>
        <w:t>E</w:t>
      </w:r>
      <w:r w:rsidR="00DC4456" w:rsidRPr="00CA31FC">
        <w:rPr>
          <w:rFonts w:ascii="Verdana" w:hAnsi="Verdana" w:cs="Times New Roman"/>
          <w:color w:val="000000"/>
          <w:sz w:val="24"/>
          <w:szCs w:val="20"/>
          <w:shd w:val="clear" w:color="auto" w:fill="FFFFFF"/>
          <w:lang w:val="en-GB"/>
        </w:rPr>
        <w:t>missions in Latvia</w:t>
      </w:r>
    </w:p>
    <w:p w14:paraId="3FB52503" w14:textId="77777777" w:rsidR="0088497A" w:rsidRPr="00DB6172" w:rsidRDefault="0088497A" w:rsidP="00CA31FC">
      <w:pPr>
        <w:spacing w:after="0" w:line="240" w:lineRule="auto"/>
        <w:rPr>
          <w:rFonts w:ascii="Verdana" w:hAnsi="Verdana" w:cs="Times New Roman"/>
          <w:sz w:val="20"/>
          <w:szCs w:val="20"/>
          <w:lang w:val="en-GB"/>
        </w:rPr>
      </w:pPr>
      <w:r w:rsidRPr="00DB6172">
        <w:rPr>
          <w:rFonts w:ascii="Verdana" w:hAnsi="Verdana" w:cs="Times New Roman"/>
          <w:sz w:val="20"/>
          <w:szCs w:val="20"/>
          <w:lang w:val="en-GB"/>
        </w:rPr>
        <w:t>Dz. Kreismane</w:t>
      </w:r>
      <w:r w:rsidRPr="00DB6172">
        <w:rPr>
          <w:rFonts w:ascii="Verdana" w:hAnsi="Verdana" w:cs="Times New Roman"/>
          <w:sz w:val="20"/>
          <w:szCs w:val="20"/>
          <w:vertAlign w:val="superscript"/>
          <w:lang w:val="en-GB"/>
        </w:rPr>
        <w:t>1</w:t>
      </w:r>
      <w:r w:rsidRPr="00DB6172">
        <w:rPr>
          <w:rFonts w:ascii="Verdana" w:hAnsi="Verdana" w:cs="Times New Roman"/>
          <w:sz w:val="20"/>
          <w:szCs w:val="20"/>
          <w:lang w:val="en-GB"/>
        </w:rPr>
        <w:t>, D. Popluga</w:t>
      </w:r>
      <w:r w:rsidRPr="00DB6172">
        <w:rPr>
          <w:rFonts w:ascii="Verdana" w:hAnsi="Verdana" w:cs="Times New Roman"/>
          <w:sz w:val="20"/>
          <w:szCs w:val="20"/>
          <w:vertAlign w:val="superscript"/>
          <w:lang w:val="en-GB"/>
        </w:rPr>
        <w:t>2</w:t>
      </w:r>
      <w:r w:rsidRPr="00DB6172">
        <w:rPr>
          <w:rFonts w:ascii="Verdana" w:hAnsi="Verdana" w:cs="Times New Roman"/>
          <w:sz w:val="20"/>
          <w:szCs w:val="20"/>
          <w:lang w:val="en-GB"/>
        </w:rPr>
        <w:t xml:space="preserve">, </w:t>
      </w:r>
      <w:r w:rsidR="005816F9" w:rsidRPr="00DB6172">
        <w:rPr>
          <w:rFonts w:ascii="Verdana" w:hAnsi="Verdana" w:cs="Times New Roman"/>
          <w:sz w:val="20"/>
          <w:szCs w:val="20"/>
          <w:lang w:val="en-GB"/>
        </w:rPr>
        <w:t>L. Berzina</w:t>
      </w:r>
      <w:r w:rsidR="005816F9" w:rsidRPr="00DB6172">
        <w:rPr>
          <w:rFonts w:ascii="Verdana" w:hAnsi="Verdana" w:cs="Times New Roman"/>
          <w:sz w:val="20"/>
          <w:szCs w:val="20"/>
          <w:vertAlign w:val="superscript"/>
          <w:lang w:val="en-GB"/>
        </w:rPr>
        <w:t>3</w:t>
      </w:r>
      <w:r w:rsidR="005816F9" w:rsidRPr="00DB6172">
        <w:rPr>
          <w:rFonts w:ascii="Verdana" w:hAnsi="Verdana" w:cs="Times New Roman"/>
          <w:sz w:val="20"/>
          <w:szCs w:val="20"/>
          <w:lang w:val="en-GB"/>
        </w:rPr>
        <w:t xml:space="preserve">, </w:t>
      </w:r>
      <w:r w:rsidRPr="00DB6172">
        <w:rPr>
          <w:rFonts w:ascii="Verdana" w:hAnsi="Verdana" w:cs="Times New Roman"/>
          <w:sz w:val="20"/>
          <w:szCs w:val="20"/>
          <w:lang w:val="en-GB"/>
        </w:rPr>
        <w:t>K. Naglis-Liepa</w:t>
      </w:r>
      <w:r w:rsidRPr="00DB6172">
        <w:rPr>
          <w:rFonts w:ascii="Verdana" w:hAnsi="Verdana" w:cs="Times New Roman"/>
          <w:sz w:val="20"/>
          <w:szCs w:val="20"/>
          <w:vertAlign w:val="superscript"/>
          <w:lang w:val="en-GB"/>
        </w:rPr>
        <w:t>2</w:t>
      </w:r>
      <w:r w:rsidRPr="00DB6172">
        <w:rPr>
          <w:rFonts w:ascii="Verdana" w:hAnsi="Verdana" w:cs="Times New Roman"/>
          <w:sz w:val="20"/>
          <w:szCs w:val="20"/>
          <w:lang w:val="en-GB"/>
        </w:rPr>
        <w:t>, A. Lenerts</w:t>
      </w:r>
      <w:r w:rsidRPr="00DB6172">
        <w:rPr>
          <w:rFonts w:ascii="Verdana" w:hAnsi="Verdana" w:cs="Times New Roman"/>
          <w:sz w:val="20"/>
          <w:szCs w:val="20"/>
          <w:vertAlign w:val="superscript"/>
          <w:lang w:val="en-GB"/>
        </w:rPr>
        <w:t>2</w:t>
      </w:r>
      <w:r w:rsidRPr="00DB6172">
        <w:rPr>
          <w:rFonts w:ascii="Verdana" w:hAnsi="Verdana" w:cs="Times New Roman"/>
          <w:sz w:val="20"/>
          <w:szCs w:val="20"/>
          <w:lang w:val="en-GB"/>
        </w:rPr>
        <w:t xml:space="preserve"> &amp; P. Rivza</w:t>
      </w:r>
      <w:r w:rsidRPr="00DB6172">
        <w:rPr>
          <w:rFonts w:ascii="Verdana" w:hAnsi="Verdana" w:cs="Times New Roman"/>
          <w:sz w:val="20"/>
          <w:szCs w:val="20"/>
          <w:vertAlign w:val="superscript"/>
          <w:lang w:val="en-GB"/>
        </w:rPr>
        <w:t>3</w:t>
      </w:r>
    </w:p>
    <w:p w14:paraId="272F95EF" w14:textId="5CC9D856" w:rsidR="0088497A" w:rsidRPr="00CA31FC" w:rsidRDefault="0088497A" w:rsidP="00CA31FC">
      <w:pPr>
        <w:spacing w:after="0" w:line="240" w:lineRule="auto"/>
        <w:rPr>
          <w:rFonts w:ascii="Verdana" w:hAnsi="Verdana" w:cs="Times New Roman"/>
          <w:i/>
          <w:sz w:val="20"/>
          <w:szCs w:val="20"/>
          <w:lang w:val="en-GB"/>
        </w:rPr>
      </w:pPr>
      <w:r w:rsidRPr="00CA31FC">
        <w:rPr>
          <w:rFonts w:ascii="Verdana" w:hAnsi="Verdana" w:cs="Times New Roman"/>
          <w:i/>
          <w:sz w:val="20"/>
          <w:szCs w:val="20"/>
          <w:vertAlign w:val="superscript"/>
          <w:lang w:val="en-GB"/>
        </w:rPr>
        <w:t>1</w:t>
      </w:r>
      <w:r w:rsidRPr="00CA31FC">
        <w:rPr>
          <w:rFonts w:ascii="Verdana" w:hAnsi="Verdana" w:cs="Times New Roman"/>
          <w:i/>
          <w:sz w:val="20"/>
          <w:szCs w:val="20"/>
          <w:lang w:val="en-GB"/>
        </w:rPr>
        <w:t xml:space="preserve"> Latvia University of Agriculture, Faculty of Agriculture, </w:t>
      </w:r>
      <w:hyperlink r:id="rId8" w:history="1">
        <w:r w:rsidRPr="00CA31FC">
          <w:rPr>
            <w:rStyle w:val="Hyperlink"/>
            <w:rFonts w:ascii="Verdana" w:hAnsi="Verdana"/>
            <w:i/>
            <w:sz w:val="20"/>
            <w:szCs w:val="20"/>
            <w:lang w:val="en-GB"/>
          </w:rPr>
          <w:t>dzidra.kreismane@llu.lv</w:t>
        </w:r>
      </w:hyperlink>
      <w:r w:rsidR="00CA31FC">
        <w:rPr>
          <w:rStyle w:val="Hyperlink"/>
          <w:rFonts w:ascii="Verdana" w:hAnsi="Verdana"/>
          <w:i/>
          <w:sz w:val="20"/>
          <w:szCs w:val="20"/>
          <w:lang w:val="en-GB"/>
        </w:rPr>
        <w:t xml:space="preserve">, </w:t>
      </w:r>
      <w:r w:rsidRPr="00CA31FC">
        <w:rPr>
          <w:rFonts w:ascii="Verdana" w:hAnsi="Verdana" w:cs="Times New Roman"/>
          <w:i/>
          <w:sz w:val="20"/>
          <w:szCs w:val="20"/>
          <w:vertAlign w:val="superscript"/>
          <w:lang w:val="en-GB"/>
        </w:rPr>
        <w:t>2</w:t>
      </w:r>
      <w:r w:rsidRPr="00CA31FC">
        <w:rPr>
          <w:rFonts w:ascii="Verdana" w:hAnsi="Verdana" w:cs="Times New Roman"/>
          <w:i/>
          <w:sz w:val="20"/>
          <w:szCs w:val="20"/>
          <w:lang w:val="en-GB"/>
        </w:rPr>
        <w:t>Latvia University of Agriculture, Faculty of Economics and Social Development</w:t>
      </w:r>
      <w:r w:rsidR="00CA31FC">
        <w:rPr>
          <w:rFonts w:ascii="Verdana" w:hAnsi="Verdana" w:cs="Times New Roman"/>
          <w:i/>
          <w:sz w:val="20"/>
          <w:szCs w:val="20"/>
          <w:lang w:val="en-GB"/>
        </w:rPr>
        <w:t xml:space="preserve">, </w:t>
      </w:r>
      <w:r w:rsidRPr="00CA31FC">
        <w:rPr>
          <w:rFonts w:ascii="Verdana" w:hAnsi="Verdana" w:cs="Times New Roman"/>
          <w:i/>
          <w:sz w:val="20"/>
          <w:szCs w:val="20"/>
          <w:vertAlign w:val="superscript"/>
          <w:lang w:val="en-GB"/>
        </w:rPr>
        <w:t>b</w:t>
      </w:r>
      <w:r w:rsidRPr="00CA31FC">
        <w:rPr>
          <w:rFonts w:ascii="Verdana" w:hAnsi="Verdana" w:cs="Times New Roman"/>
          <w:i/>
          <w:sz w:val="20"/>
          <w:szCs w:val="20"/>
          <w:lang w:val="en-GB"/>
        </w:rPr>
        <w:t xml:space="preserve"> Latvia University of Agriculture, Faculty of Information Technologies</w:t>
      </w:r>
    </w:p>
    <w:p w14:paraId="6797AA2B" w14:textId="77777777" w:rsidR="006928C4" w:rsidRPr="00DB6172" w:rsidRDefault="006928C4" w:rsidP="006D31B2">
      <w:pPr>
        <w:spacing w:after="0"/>
        <w:rPr>
          <w:lang w:val="en-GB"/>
        </w:rPr>
      </w:pPr>
    </w:p>
    <w:p w14:paraId="4068243D" w14:textId="77777777" w:rsidR="005816F9" w:rsidRPr="00DB6172" w:rsidRDefault="00D103E7" w:rsidP="00834DE2">
      <w:pPr>
        <w:spacing w:after="120" w:line="240" w:lineRule="auto"/>
        <w:jc w:val="both"/>
        <w:rPr>
          <w:rFonts w:ascii="Verdana" w:hAnsi="Verdana"/>
          <w:b/>
          <w:sz w:val="20"/>
          <w:szCs w:val="20"/>
          <w:lang w:val="en-GB"/>
        </w:rPr>
      </w:pPr>
      <w:r w:rsidRPr="00DB6172">
        <w:rPr>
          <w:rFonts w:ascii="Verdana" w:hAnsi="Verdana"/>
          <w:b/>
          <w:sz w:val="20"/>
          <w:szCs w:val="20"/>
          <w:lang w:val="en-GB"/>
        </w:rPr>
        <w:t>Background and objectives</w:t>
      </w:r>
    </w:p>
    <w:p w14:paraId="76431239" w14:textId="7CA94302" w:rsidR="00D103E7" w:rsidRPr="00DB6172" w:rsidRDefault="00A71400" w:rsidP="000B57D6">
      <w:pPr>
        <w:spacing w:line="240" w:lineRule="auto"/>
        <w:jc w:val="both"/>
        <w:rPr>
          <w:rFonts w:ascii="Verdana" w:hAnsi="Verdana" w:cs="Times New Roman"/>
          <w:sz w:val="20"/>
          <w:szCs w:val="20"/>
          <w:shd w:val="clear" w:color="auto" w:fill="FFFFFF"/>
          <w:lang w:val="en-GB"/>
        </w:rPr>
      </w:pPr>
      <w:r w:rsidRPr="00DB6172">
        <w:rPr>
          <w:rFonts w:ascii="Verdana" w:hAnsi="Verdana" w:cs="Times New Roman"/>
          <w:sz w:val="20"/>
          <w:szCs w:val="20"/>
          <w:lang w:val="en-GB"/>
        </w:rPr>
        <w:t>In Latvia there can be observed rapidly growing interest of farmers to</w:t>
      </w:r>
      <w:r w:rsidR="001742B1" w:rsidRPr="00DB6172">
        <w:rPr>
          <w:rFonts w:ascii="Verdana" w:hAnsi="Verdana" w:cs="Times New Roman"/>
          <w:sz w:val="20"/>
          <w:szCs w:val="20"/>
          <w:lang w:val="en-GB"/>
        </w:rPr>
        <w:t xml:space="preserve"> engage in organic farming</w:t>
      </w:r>
      <w:r w:rsidRPr="00DB6172">
        <w:rPr>
          <w:rFonts w:ascii="Verdana" w:hAnsi="Verdana" w:cs="Times New Roman"/>
          <w:sz w:val="20"/>
          <w:szCs w:val="20"/>
          <w:lang w:val="en-GB"/>
        </w:rPr>
        <w:t xml:space="preserve"> – from 2012 till 2015 number of certified organic farms has increased by 4%, but utilized organic agricultural land area – by 18%. At the same time a</w:t>
      </w:r>
      <w:r w:rsidR="001E449C" w:rsidRPr="00DB6172">
        <w:rPr>
          <w:rFonts w:ascii="Verdana" w:hAnsi="Verdana" w:cs="Times New Roman"/>
          <w:sz w:val="20"/>
          <w:szCs w:val="20"/>
          <w:lang w:val="en-GB"/>
        </w:rPr>
        <w:t xml:space="preserve">fter the Paris Summit on Climate Change held at the end of 2015, Latvia </w:t>
      </w:r>
      <w:r w:rsidR="00CF706C" w:rsidRPr="00DB6172">
        <w:rPr>
          <w:rFonts w:ascii="Verdana" w:hAnsi="Verdana" w:cs="Times New Roman"/>
          <w:sz w:val="20"/>
          <w:szCs w:val="20"/>
          <w:lang w:val="en-GB"/>
        </w:rPr>
        <w:t xml:space="preserve">has </w:t>
      </w:r>
      <w:r w:rsidR="0021554D" w:rsidRPr="00DB6172">
        <w:rPr>
          <w:rFonts w:ascii="Verdana" w:hAnsi="Verdana" w:cs="Times New Roman"/>
          <w:sz w:val="20"/>
          <w:szCs w:val="20"/>
          <w:lang w:val="en-GB"/>
        </w:rPr>
        <w:t>agreed</w:t>
      </w:r>
      <w:r w:rsidR="001E449C" w:rsidRPr="00DB6172">
        <w:rPr>
          <w:rFonts w:ascii="Verdana" w:hAnsi="Verdana" w:cs="Times New Roman"/>
          <w:sz w:val="20"/>
          <w:szCs w:val="20"/>
          <w:lang w:val="en-GB"/>
        </w:rPr>
        <w:t xml:space="preserve"> </w:t>
      </w:r>
      <w:r w:rsidR="0021554D" w:rsidRPr="00DB6172">
        <w:rPr>
          <w:rFonts w:ascii="Verdana" w:hAnsi="Verdana" w:cs="Times New Roman"/>
          <w:sz w:val="20"/>
          <w:szCs w:val="20"/>
          <w:lang w:val="en-GB"/>
        </w:rPr>
        <w:t xml:space="preserve">on the need for </w:t>
      </w:r>
      <w:r w:rsidR="009A543C" w:rsidRPr="00DB6172">
        <w:rPr>
          <w:rFonts w:ascii="Verdana" w:hAnsi="Verdana" w:cs="Times New Roman"/>
          <w:sz w:val="20"/>
          <w:szCs w:val="20"/>
          <w:lang w:val="en-GB"/>
        </w:rPr>
        <w:t xml:space="preserve">reduce </w:t>
      </w:r>
      <w:r w:rsidR="0021554D" w:rsidRPr="00DB6172">
        <w:rPr>
          <w:rFonts w:ascii="Verdana" w:hAnsi="Verdana" w:cs="Times New Roman"/>
          <w:sz w:val="20"/>
          <w:szCs w:val="20"/>
          <w:lang w:val="en-GB"/>
        </w:rPr>
        <w:t xml:space="preserve">global </w:t>
      </w:r>
      <w:r w:rsidR="009A543C" w:rsidRPr="00DB6172">
        <w:rPr>
          <w:rFonts w:ascii="Verdana" w:hAnsi="Verdana" w:cs="Times New Roman"/>
          <w:sz w:val="20"/>
          <w:szCs w:val="20"/>
          <w:lang w:val="en-GB"/>
        </w:rPr>
        <w:t xml:space="preserve">greenhouse gas (GHG) </w:t>
      </w:r>
      <w:r w:rsidR="0021554D" w:rsidRPr="00DB6172">
        <w:rPr>
          <w:rFonts w:ascii="Verdana" w:hAnsi="Verdana" w:cs="Times New Roman"/>
          <w:sz w:val="20"/>
          <w:szCs w:val="20"/>
          <w:lang w:val="en-GB"/>
        </w:rPr>
        <w:t>emissions as soon as possible and joined to the initiative to scale up its efforts and support actions to reduce emissions, which in the agricultural sector shows constan</w:t>
      </w:r>
      <w:r w:rsidR="00072405" w:rsidRPr="00DB6172">
        <w:rPr>
          <w:rFonts w:ascii="Verdana" w:hAnsi="Verdana" w:cs="Times New Roman"/>
          <w:sz w:val="20"/>
          <w:szCs w:val="20"/>
          <w:lang w:val="en-GB"/>
        </w:rPr>
        <w:t>t</w:t>
      </w:r>
      <w:r w:rsidR="0021554D" w:rsidRPr="00DB6172">
        <w:rPr>
          <w:rFonts w:ascii="Verdana" w:hAnsi="Verdana" w:cs="Times New Roman"/>
          <w:sz w:val="20"/>
          <w:szCs w:val="20"/>
          <w:lang w:val="en-GB"/>
        </w:rPr>
        <w:t xml:space="preserve"> increase (in 2015 agricultural </w:t>
      </w:r>
      <w:r w:rsidR="009A543C" w:rsidRPr="00DB6172">
        <w:rPr>
          <w:rFonts w:ascii="Verdana" w:hAnsi="Verdana" w:cs="Times New Roman"/>
          <w:sz w:val="20"/>
          <w:szCs w:val="20"/>
          <w:lang w:val="en-GB"/>
        </w:rPr>
        <w:t xml:space="preserve">GHG </w:t>
      </w:r>
      <w:r w:rsidR="0021554D" w:rsidRPr="00DB6172">
        <w:rPr>
          <w:rFonts w:ascii="Verdana" w:hAnsi="Verdana" w:cs="Times New Roman"/>
          <w:sz w:val="20"/>
          <w:szCs w:val="20"/>
          <w:lang w:val="en-GB"/>
        </w:rPr>
        <w:t>emissions have increased by 10% compared with 2010).</w:t>
      </w:r>
      <w:r w:rsidR="0021554D" w:rsidRPr="00DB6172">
        <w:rPr>
          <w:bCs/>
          <w:lang w:val="en-GB"/>
        </w:rPr>
        <w:t xml:space="preserve"> </w:t>
      </w:r>
      <w:r w:rsidR="009A543C" w:rsidRPr="00DB6172">
        <w:rPr>
          <w:bCs/>
          <w:lang w:val="en-GB"/>
        </w:rPr>
        <w:t>A</w:t>
      </w:r>
      <w:r w:rsidR="00D103E7" w:rsidRPr="00DB6172">
        <w:rPr>
          <w:rFonts w:ascii="Verdana" w:hAnsi="Verdana"/>
          <w:sz w:val="20"/>
          <w:szCs w:val="20"/>
          <w:lang w:val="en-GB"/>
        </w:rPr>
        <w:t xml:space="preserve">pplication of organic farming methods in agricultural production is one of the possibilities to </w:t>
      </w:r>
      <w:r w:rsidR="00801590" w:rsidRPr="00DB6172">
        <w:rPr>
          <w:rFonts w:ascii="Verdana" w:hAnsi="Verdana"/>
          <w:sz w:val="20"/>
          <w:szCs w:val="20"/>
          <w:lang w:val="en-GB"/>
        </w:rPr>
        <w:t>reduce</w:t>
      </w:r>
      <w:r w:rsidR="00D103E7" w:rsidRPr="00DB6172">
        <w:rPr>
          <w:rFonts w:ascii="Verdana" w:hAnsi="Verdana"/>
          <w:sz w:val="20"/>
          <w:szCs w:val="20"/>
          <w:lang w:val="en-GB"/>
        </w:rPr>
        <w:t xml:space="preserve"> GHG emissions</w:t>
      </w:r>
      <w:r w:rsidR="000065A5" w:rsidRPr="00DB6172">
        <w:rPr>
          <w:rFonts w:ascii="Verdana" w:hAnsi="Verdana"/>
          <w:sz w:val="20"/>
          <w:szCs w:val="20"/>
          <w:lang w:val="en-GB"/>
        </w:rPr>
        <w:t xml:space="preserve">. </w:t>
      </w:r>
      <w:r w:rsidR="00801590" w:rsidRPr="00DB6172">
        <w:rPr>
          <w:rFonts w:ascii="Verdana" w:hAnsi="Verdana" w:cs="Times New Roman"/>
          <w:sz w:val="20"/>
          <w:szCs w:val="20"/>
          <w:shd w:val="clear" w:color="auto" w:fill="FFFFFF"/>
          <w:lang w:val="en-GB"/>
        </w:rPr>
        <w:t>Th</w:t>
      </w:r>
      <w:r w:rsidR="000065A5" w:rsidRPr="00DB6172">
        <w:rPr>
          <w:rFonts w:ascii="Verdana" w:hAnsi="Verdana" w:cs="Times New Roman"/>
          <w:sz w:val="20"/>
          <w:szCs w:val="20"/>
          <w:shd w:val="clear" w:color="auto" w:fill="FFFFFF"/>
          <w:lang w:val="en-GB"/>
        </w:rPr>
        <w:t>is</w:t>
      </w:r>
      <w:r w:rsidR="00801590" w:rsidRPr="00DB6172">
        <w:rPr>
          <w:rFonts w:ascii="Verdana" w:hAnsi="Verdana" w:cs="Times New Roman"/>
          <w:sz w:val="20"/>
          <w:szCs w:val="20"/>
          <w:shd w:val="clear" w:color="auto" w:fill="FFFFFF"/>
          <w:lang w:val="en-GB"/>
        </w:rPr>
        <w:t xml:space="preserve"> research aim</w:t>
      </w:r>
      <w:r w:rsidR="005816F9" w:rsidRPr="00DB6172">
        <w:rPr>
          <w:rFonts w:ascii="Verdana" w:hAnsi="Verdana" w:cs="Times New Roman"/>
          <w:sz w:val="20"/>
          <w:szCs w:val="20"/>
          <w:shd w:val="clear" w:color="auto" w:fill="FFFFFF"/>
          <w:lang w:val="en-GB"/>
        </w:rPr>
        <w:t>s</w:t>
      </w:r>
      <w:r w:rsidR="00801590" w:rsidRPr="00DB6172">
        <w:rPr>
          <w:rFonts w:ascii="Verdana" w:hAnsi="Verdana" w:cs="Times New Roman"/>
          <w:sz w:val="20"/>
          <w:szCs w:val="20"/>
          <w:shd w:val="clear" w:color="auto" w:fill="FFFFFF"/>
          <w:lang w:val="en-GB"/>
        </w:rPr>
        <w:t xml:space="preserve"> to characterise </w:t>
      </w:r>
      <w:r w:rsidR="009A543C" w:rsidRPr="00DB6172">
        <w:rPr>
          <w:rFonts w:ascii="Verdana" w:hAnsi="Verdana" w:cs="Times New Roman"/>
          <w:sz w:val="20"/>
          <w:szCs w:val="20"/>
          <w:shd w:val="clear" w:color="auto" w:fill="FFFFFF"/>
          <w:lang w:val="en-GB"/>
        </w:rPr>
        <w:t xml:space="preserve">role and contribution of </w:t>
      </w:r>
      <w:r w:rsidR="00801590" w:rsidRPr="00DB6172">
        <w:rPr>
          <w:rFonts w:ascii="Verdana" w:hAnsi="Verdana" w:cs="Times New Roman"/>
          <w:sz w:val="20"/>
          <w:szCs w:val="20"/>
          <w:shd w:val="clear" w:color="auto" w:fill="FFFFFF"/>
          <w:lang w:val="en-GB"/>
        </w:rPr>
        <w:t>organic farm</w:t>
      </w:r>
      <w:r w:rsidR="009A543C" w:rsidRPr="00DB6172">
        <w:rPr>
          <w:rFonts w:ascii="Verdana" w:hAnsi="Verdana" w:cs="Times New Roman"/>
          <w:sz w:val="20"/>
          <w:szCs w:val="20"/>
          <w:shd w:val="clear" w:color="auto" w:fill="FFFFFF"/>
          <w:lang w:val="en-GB"/>
        </w:rPr>
        <w:t>s in agricultural GHG emissions</w:t>
      </w:r>
      <w:r w:rsidR="00CF706C" w:rsidRPr="00DB6172">
        <w:rPr>
          <w:rFonts w:ascii="Verdana" w:hAnsi="Verdana" w:cs="Times New Roman"/>
          <w:sz w:val="20"/>
          <w:szCs w:val="20"/>
          <w:shd w:val="clear" w:color="auto" w:fill="FFFFFF"/>
          <w:lang w:val="en-GB"/>
        </w:rPr>
        <w:t xml:space="preserve"> in Latvia</w:t>
      </w:r>
      <w:r w:rsidR="009A543C" w:rsidRPr="00DB6172">
        <w:rPr>
          <w:rFonts w:ascii="Verdana" w:hAnsi="Verdana" w:cs="Times New Roman"/>
          <w:sz w:val="20"/>
          <w:szCs w:val="20"/>
          <w:shd w:val="clear" w:color="auto" w:fill="FFFFFF"/>
          <w:lang w:val="en-GB"/>
        </w:rPr>
        <w:t xml:space="preserve">. </w:t>
      </w:r>
    </w:p>
    <w:p w14:paraId="061EFB4A" w14:textId="77777777" w:rsidR="001E449C" w:rsidRPr="00DB6172" w:rsidRDefault="001E449C" w:rsidP="00834DE2">
      <w:pPr>
        <w:spacing w:after="120" w:line="240" w:lineRule="auto"/>
        <w:jc w:val="both"/>
        <w:rPr>
          <w:rFonts w:ascii="Verdana" w:hAnsi="Verdana"/>
          <w:sz w:val="20"/>
          <w:szCs w:val="20"/>
          <w:lang w:val="en-GB"/>
        </w:rPr>
      </w:pPr>
      <w:r w:rsidRPr="00DB6172">
        <w:rPr>
          <w:rFonts w:ascii="Verdana" w:hAnsi="Verdana"/>
          <w:b/>
          <w:sz w:val="20"/>
          <w:szCs w:val="20"/>
          <w:lang w:val="en-GB"/>
        </w:rPr>
        <w:t>How work was carried out?</w:t>
      </w:r>
      <w:r w:rsidRPr="00DB6172">
        <w:rPr>
          <w:rFonts w:ascii="Verdana" w:hAnsi="Verdana"/>
          <w:sz w:val="20"/>
          <w:szCs w:val="20"/>
          <w:lang w:val="en-GB"/>
        </w:rPr>
        <w:t xml:space="preserve"> </w:t>
      </w:r>
    </w:p>
    <w:p w14:paraId="42D358D7" w14:textId="61EF29D4" w:rsidR="00B35AFC" w:rsidRPr="00DB6172" w:rsidRDefault="00834DE2" w:rsidP="00834DE2">
      <w:pPr>
        <w:spacing w:after="0" w:line="240" w:lineRule="auto"/>
        <w:jc w:val="both"/>
        <w:rPr>
          <w:rFonts w:ascii="Verdana" w:hAnsi="Verdana"/>
          <w:sz w:val="20"/>
          <w:szCs w:val="20"/>
          <w:lang w:val="en-GB"/>
        </w:rPr>
      </w:pPr>
      <w:r>
        <w:rPr>
          <w:rFonts w:ascii="Verdana" w:hAnsi="Verdana" w:cs="Times New Roman"/>
          <w:sz w:val="20"/>
          <w:szCs w:val="20"/>
          <w:lang w:val="en-GB"/>
        </w:rPr>
        <w:t>T</w:t>
      </w:r>
      <w:r w:rsidR="00921C7A" w:rsidRPr="00DB6172">
        <w:rPr>
          <w:rFonts w:ascii="Verdana" w:hAnsi="Verdana" w:cs="Times New Roman"/>
          <w:sz w:val="20"/>
          <w:szCs w:val="20"/>
          <w:lang w:val="en-GB"/>
        </w:rPr>
        <w:t xml:space="preserve">he present research designed a typology of agricultural </w:t>
      </w:r>
      <w:r w:rsidR="004A5DCA" w:rsidRPr="00DB6172">
        <w:rPr>
          <w:rFonts w:ascii="Verdana" w:hAnsi="Verdana" w:cs="Times New Roman"/>
          <w:sz w:val="20"/>
          <w:szCs w:val="20"/>
          <w:lang w:val="en-GB"/>
        </w:rPr>
        <w:t>farms</w:t>
      </w:r>
      <w:r w:rsidR="00921C7A" w:rsidRPr="00DB6172">
        <w:rPr>
          <w:rFonts w:ascii="Verdana" w:hAnsi="Verdana" w:cs="Times New Roman"/>
          <w:sz w:val="20"/>
          <w:szCs w:val="20"/>
          <w:lang w:val="en-GB"/>
        </w:rPr>
        <w:t>, which allowed identifying farming systems typical for the conditions in Latvia</w:t>
      </w:r>
      <w:r w:rsidR="00CF706C" w:rsidRPr="00DB6172">
        <w:rPr>
          <w:rFonts w:ascii="Verdana" w:hAnsi="Verdana" w:cs="Times New Roman"/>
          <w:sz w:val="20"/>
          <w:szCs w:val="20"/>
          <w:lang w:val="en-GB"/>
        </w:rPr>
        <w:t xml:space="preserve"> and clarifying role of organic farming systems in </w:t>
      </w:r>
      <w:r w:rsidR="003722E4" w:rsidRPr="00DB6172">
        <w:rPr>
          <w:rFonts w:ascii="Verdana" w:hAnsi="Verdana" w:cs="Times New Roman"/>
          <w:sz w:val="20"/>
          <w:szCs w:val="20"/>
          <w:lang w:val="en-GB"/>
        </w:rPr>
        <w:t>total agricultural production and GHG emission generation</w:t>
      </w:r>
      <w:r w:rsidR="00921C7A" w:rsidRPr="00DB6172">
        <w:rPr>
          <w:rFonts w:ascii="Verdana" w:hAnsi="Verdana" w:cs="Times New Roman"/>
          <w:sz w:val="20"/>
          <w:szCs w:val="20"/>
          <w:lang w:val="en-GB"/>
        </w:rPr>
        <w:t>.</w:t>
      </w:r>
      <w:r w:rsidR="004A5DCA" w:rsidRPr="00DB6172">
        <w:rPr>
          <w:rFonts w:ascii="Verdana" w:hAnsi="Verdana" w:cs="Times New Roman"/>
          <w:sz w:val="20"/>
          <w:szCs w:val="20"/>
          <w:lang w:val="en-GB"/>
        </w:rPr>
        <w:t xml:space="preserve"> The typology of agricultural farms was based on </w:t>
      </w:r>
      <w:r w:rsidR="003722E4" w:rsidRPr="00DB6172">
        <w:rPr>
          <w:rFonts w:ascii="Verdana" w:hAnsi="Verdana" w:cs="Times New Roman"/>
          <w:sz w:val="20"/>
          <w:szCs w:val="20"/>
          <w:lang w:val="en-GB"/>
        </w:rPr>
        <w:t>statistical data from the Farm Accountancy Data Network</w:t>
      </w:r>
      <w:r w:rsidR="006C78E4" w:rsidRPr="00DB6172">
        <w:rPr>
          <w:rFonts w:ascii="Verdana" w:hAnsi="Verdana" w:cs="Times New Roman"/>
          <w:sz w:val="20"/>
          <w:szCs w:val="20"/>
          <w:lang w:val="en-GB"/>
        </w:rPr>
        <w:t xml:space="preserve"> (FADN)</w:t>
      </w:r>
      <w:r w:rsidR="003722E4" w:rsidRPr="00DB6172">
        <w:rPr>
          <w:rFonts w:ascii="Verdana" w:hAnsi="Verdana" w:cs="Times New Roman"/>
          <w:sz w:val="20"/>
          <w:szCs w:val="20"/>
          <w:lang w:val="en-GB"/>
        </w:rPr>
        <w:t>. Cluster analysis</w:t>
      </w:r>
      <w:r w:rsidR="00B35AFC" w:rsidRPr="00DB6172">
        <w:rPr>
          <w:rFonts w:ascii="Verdana" w:hAnsi="Verdana" w:cs="Times New Roman"/>
          <w:sz w:val="20"/>
          <w:szCs w:val="20"/>
          <w:lang w:val="en-GB"/>
        </w:rPr>
        <w:t>,</w:t>
      </w:r>
      <w:r w:rsidR="003722E4" w:rsidRPr="00DB6172">
        <w:rPr>
          <w:rFonts w:ascii="Verdana" w:hAnsi="Verdana" w:cs="Times New Roman"/>
          <w:sz w:val="20"/>
          <w:szCs w:val="20"/>
          <w:lang w:val="en-GB"/>
        </w:rPr>
        <w:t xml:space="preserve"> </w:t>
      </w:r>
      <w:r w:rsidR="00B35AFC" w:rsidRPr="00DB6172">
        <w:rPr>
          <w:rFonts w:ascii="Verdana" w:hAnsi="Verdana" w:cs="Times New Roman"/>
          <w:sz w:val="20"/>
          <w:szCs w:val="20"/>
          <w:lang w:val="en-GB"/>
        </w:rPr>
        <w:t xml:space="preserve">which was based on 22 indicators, </w:t>
      </w:r>
      <w:r w:rsidR="003722E4" w:rsidRPr="00DB6172">
        <w:rPr>
          <w:rFonts w:ascii="Verdana" w:hAnsi="Verdana" w:cs="Times New Roman"/>
          <w:sz w:val="20"/>
          <w:szCs w:val="20"/>
          <w:lang w:val="en-GB"/>
        </w:rPr>
        <w:t>was employed and the SPSS program (IBM SPSS Statistics 22) w</w:t>
      </w:r>
      <w:r w:rsidR="002C6485" w:rsidRPr="00DB6172">
        <w:rPr>
          <w:rFonts w:ascii="Verdana" w:hAnsi="Verdana" w:cs="Times New Roman"/>
          <w:sz w:val="20"/>
          <w:szCs w:val="20"/>
          <w:lang w:val="en-GB"/>
        </w:rPr>
        <w:t>ere</w:t>
      </w:r>
      <w:r w:rsidR="003722E4" w:rsidRPr="00DB6172">
        <w:rPr>
          <w:rFonts w:ascii="Verdana" w:hAnsi="Verdana" w:cs="Times New Roman"/>
          <w:sz w:val="20"/>
          <w:szCs w:val="20"/>
          <w:lang w:val="en-GB"/>
        </w:rPr>
        <w:t xml:space="preserve"> used to design the typology</w:t>
      </w:r>
      <w:r w:rsidR="00B35AFC" w:rsidRPr="00DB6172">
        <w:rPr>
          <w:rFonts w:ascii="Verdana" w:hAnsi="Verdana" w:cs="Times New Roman"/>
          <w:sz w:val="20"/>
          <w:szCs w:val="20"/>
          <w:lang w:val="en-GB"/>
        </w:rPr>
        <w:t xml:space="preserve">. The cluster analysis identified </w:t>
      </w:r>
      <w:r w:rsidR="007563AB" w:rsidRPr="00DB6172">
        <w:rPr>
          <w:rFonts w:ascii="Verdana" w:hAnsi="Verdana" w:cs="Times New Roman"/>
          <w:sz w:val="20"/>
          <w:szCs w:val="20"/>
          <w:lang w:val="en-GB"/>
        </w:rPr>
        <w:t>three</w:t>
      </w:r>
      <w:r w:rsidR="00B35AFC" w:rsidRPr="00DB6172">
        <w:rPr>
          <w:rFonts w:ascii="Verdana" w:hAnsi="Verdana" w:cs="Times New Roman"/>
          <w:sz w:val="20"/>
          <w:szCs w:val="20"/>
          <w:lang w:val="en-GB"/>
        </w:rPr>
        <w:t xml:space="preserve"> different farm clusters that, depending on their characteristics, represented the following farm types:</w:t>
      </w:r>
      <w:r>
        <w:rPr>
          <w:rFonts w:ascii="Verdana" w:hAnsi="Verdana" w:cs="Times New Roman"/>
          <w:sz w:val="20"/>
          <w:szCs w:val="20"/>
          <w:lang w:val="en-GB"/>
        </w:rPr>
        <w:t xml:space="preserve"> </w:t>
      </w:r>
      <w:r w:rsidR="00B35AFC" w:rsidRPr="00DB6172">
        <w:rPr>
          <w:rFonts w:ascii="Verdana" w:hAnsi="Verdana"/>
          <w:sz w:val="20"/>
          <w:szCs w:val="20"/>
          <w:lang w:val="en-GB"/>
        </w:rPr>
        <w:t xml:space="preserve">Cluster 1 – Intensive </w:t>
      </w:r>
      <w:r w:rsidR="006C78E4" w:rsidRPr="00DB6172">
        <w:rPr>
          <w:rFonts w:ascii="Verdana" w:hAnsi="Verdana"/>
          <w:sz w:val="20"/>
          <w:szCs w:val="20"/>
          <w:lang w:val="en-GB"/>
        </w:rPr>
        <w:t>indoor fodder based livestock</w:t>
      </w:r>
      <w:r w:rsidR="00B35AFC" w:rsidRPr="00DB6172">
        <w:rPr>
          <w:rFonts w:ascii="Verdana" w:hAnsi="Verdana"/>
          <w:sz w:val="20"/>
          <w:szCs w:val="20"/>
          <w:lang w:val="en-GB"/>
        </w:rPr>
        <w:t xml:space="preserve"> farms;</w:t>
      </w:r>
      <w:r>
        <w:rPr>
          <w:rFonts w:ascii="Verdana" w:hAnsi="Verdana"/>
          <w:sz w:val="20"/>
          <w:szCs w:val="20"/>
          <w:lang w:val="en-GB"/>
        </w:rPr>
        <w:t xml:space="preserve"> </w:t>
      </w:r>
      <w:r w:rsidR="00B35AFC" w:rsidRPr="00DB6172">
        <w:rPr>
          <w:rFonts w:ascii="Verdana" w:hAnsi="Verdana"/>
          <w:sz w:val="20"/>
          <w:szCs w:val="20"/>
          <w:lang w:val="en-GB"/>
        </w:rPr>
        <w:t xml:space="preserve">Cluster 2 – Intensive cereal farms; Cluster 3 – Mixed </w:t>
      </w:r>
      <w:r w:rsidR="006C78E4" w:rsidRPr="00DB6172">
        <w:rPr>
          <w:rFonts w:ascii="Verdana" w:hAnsi="Verdana"/>
          <w:sz w:val="20"/>
          <w:szCs w:val="20"/>
          <w:lang w:val="en-GB"/>
        </w:rPr>
        <w:t>specialization and pasture based livestock farms</w:t>
      </w:r>
      <w:r w:rsidR="007563AB" w:rsidRPr="00DB6172">
        <w:rPr>
          <w:rFonts w:ascii="Verdana" w:hAnsi="Verdana"/>
          <w:sz w:val="20"/>
          <w:szCs w:val="20"/>
          <w:lang w:val="en-GB"/>
        </w:rPr>
        <w:t>.</w:t>
      </w:r>
    </w:p>
    <w:p w14:paraId="5B151B99" w14:textId="207A6481" w:rsidR="006C78E4" w:rsidRPr="00DB6172" w:rsidRDefault="007563AB" w:rsidP="00E91AE5">
      <w:pPr>
        <w:spacing w:before="120" w:after="0" w:line="240" w:lineRule="auto"/>
        <w:jc w:val="both"/>
        <w:rPr>
          <w:rFonts w:ascii="Verdana" w:hAnsi="Verdana"/>
          <w:sz w:val="20"/>
          <w:szCs w:val="20"/>
          <w:lang w:val="en-GB"/>
        </w:rPr>
      </w:pPr>
      <w:r w:rsidRPr="00DB6172">
        <w:rPr>
          <w:rFonts w:ascii="Verdana" w:hAnsi="Verdana" w:cs="Times New Roman"/>
          <w:sz w:val="20"/>
          <w:szCs w:val="20"/>
          <w:lang w:val="en-GB"/>
        </w:rPr>
        <w:t>Given the fact that the FADN farms were represented only by economically active, commercial farms and produced their products for the market and the number of such farms was equal to approximately 36 808 or 45% of the total farms in Latvia, the three FADN farm clusters did not fully reflect the situation in the country. For this reason, two more clusters were added to the farm clusters identified in the cluster analysis, which gave more complete insight into the situation on farming systems in Latvia:</w:t>
      </w:r>
      <w:r w:rsidR="00834DE2">
        <w:rPr>
          <w:rFonts w:ascii="Verdana" w:hAnsi="Verdana" w:cs="Times New Roman"/>
          <w:sz w:val="20"/>
          <w:szCs w:val="20"/>
          <w:lang w:val="en-GB"/>
        </w:rPr>
        <w:t xml:space="preserve"> </w:t>
      </w:r>
      <w:r w:rsidR="006C78E4" w:rsidRPr="00DB6172">
        <w:rPr>
          <w:rFonts w:ascii="Verdana" w:hAnsi="Verdana"/>
          <w:sz w:val="20"/>
          <w:szCs w:val="20"/>
          <w:lang w:val="en-GB"/>
        </w:rPr>
        <w:t>Cluster 4 – Organic farms;</w:t>
      </w:r>
      <w:r w:rsidR="00834DE2">
        <w:rPr>
          <w:rFonts w:ascii="Verdana" w:hAnsi="Verdana"/>
          <w:sz w:val="20"/>
          <w:szCs w:val="20"/>
          <w:lang w:val="en-GB"/>
        </w:rPr>
        <w:t xml:space="preserve"> </w:t>
      </w:r>
      <w:r w:rsidR="006C78E4" w:rsidRPr="00DB6172">
        <w:rPr>
          <w:rFonts w:ascii="Verdana" w:hAnsi="Verdana"/>
          <w:sz w:val="20"/>
          <w:szCs w:val="20"/>
          <w:lang w:val="en-GB"/>
        </w:rPr>
        <w:t>Cluster 5 – Small farms.</w:t>
      </w:r>
    </w:p>
    <w:p w14:paraId="12A4AF72" w14:textId="1C681596" w:rsidR="003722E4" w:rsidRPr="00DB6172" w:rsidRDefault="007563AB" w:rsidP="00E91AE5">
      <w:pPr>
        <w:spacing w:before="120" w:line="240" w:lineRule="auto"/>
        <w:jc w:val="both"/>
        <w:rPr>
          <w:rFonts w:ascii="Verdana" w:hAnsi="Verdana"/>
          <w:sz w:val="20"/>
          <w:szCs w:val="20"/>
          <w:lang w:val="en-GB"/>
        </w:rPr>
      </w:pPr>
      <w:r w:rsidRPr="00DB6172">
        <w:rPr>
          <w:rFonts w:ascii="Verdana" w:hAnsi="Verdana"/>
          <w:sz w:val="20"/>
          <w:szCs w:val="20"/>
          <w:lang w:val="en-GB"/>
        </w:rPr>
        <w:t xml:space="preserve">Statistical data from </w:t>
      </w:r>
      <w:r w:rsidR="006C78E4" w:rsidRPr="00DB6172">
        <w:rPr>
          <w:rFonts w:ascii="Verdana" w:hAnsi="Verdana"/>
          <w:sz w:val="20"/>
          <w:szCs w:val="20"/>
          <w:lang w:val="en-GB"/>
        </w:rPr>
        <w:t xml:space="preserve">FADN, </w:t>
      </w:r>
      <w:r w:rsidRPr="00DB6172">
        <w:rPr>
          <w:rFonts w:ascii="Verdana" w:hAnsi="Verdana"/>
          <w:sz w:val="20"/>
          <w:szCs w:val="20"/>
          <w:lang w:val="en-GB"/>
        </w:rPr>
        <w:t xml:space="preserve">EUROSTAT, </w:t>
      </w:r>
      <w:r w:rsidR="006C78E4" w:rsidRPr="00DB6172">
        <w:rPr>
          <w:rFonts w:ascii="Verdana" w:hAnsi="Verdana"/>
          <w:sz w:val="20"/>
          <w:szCs w:val="20"/>
          <w:lang w:val="en-GB"/>
        </w:rPr>
        <w:t>C</w:t>
      </w:r>
      <w:r w:rsidRPr="00DB6172">
        <w:rPr>
          <w:rFonts w:ascii="Verdana" w:hAnsi="Verdana"/>
          <w:sz w:val="20"/>
          <w:szCs w:val="20"/>
          <w:lang w:val="en-GB"/>
        </w:rPr>
        <w:t xml:space="preserve">entral </w:t>
      </w:r>
      <w:r w:rsidR="006C78E4" w:rsidRPr="00DB6172">
        <w:rPr>
          <w:rFonts w:ascii="Verdana" w:hAnsi="Verdana"/>
          <w:sz w:val="20"/>
          <w:szCs w:val="20"/>
          <w:lang w:val="en-GB"/>
        </w:rPr>
        <w:t>S</w:t>
      </w:r>
      <w:r w:rsidRPr="00DB6172">
        <w:rPr>
          <w:rFonts w:ascii="Verdana" w:hAnsi="Verdana"/>
          <w:sz w:val="20"/>
          <w:szCs w:val="20"/>
          <w:lang w:val="en-GB"/>
        </w:rPr>
        <w:t xml:space="preserve">tatistical </w:t>
      </w:r>
      <w:r w:rsidR="006C78E4" w:rsidRPr="00DB6172">
        <w:rPr>
          <w:rFonts w:ascii="Verdana" w:hAnsi="Verdana"/>
          <w:sz w:val="20"/>
          <w:szCs w:val="20"/>
          <w:lang w:val="en-GB"/>
        </w:rPr>
        <w:t>B</w:t>
      </w:r>
      <w:r w:rsidRPr="00DB6172">
        <w:rPr>
          <w:rFonts w:ascii="Verdana" w:hAnsi="Verdana"/>
          <w:sz w:val="20"/>
          <w:szCs w:val="20"/>
          <w:lang w:val="en-GB"/>
        </w:rPr>
        <w:t>ureau of Republic of Latvia, organic farming certification bodies</w:t>
      </w:r>
      <w:r w:rsidR="006C78E4" w:rsidRPr="00DB6172">
        <w:rPr>
          <w:rFonts w:ascii="Verdana" w:hAnsi="Verdana"/>
          <w:sz w:val="20"/>
          <w:szCs w:val="20"/>
          <w:lang w:val="en-GB"/>
        </w:rPr>
        <w:t xml:space="preserve"> were used to describe the clusters; yet, the databases lacked data on farming practices in the context of GHG emissions. For this reason, the present research performed a survey of farms, which involved 50 farms (10 from each cluster). The questionnaire for the purpose of the survey were developed, which included questions about farming practice and activities affecting GHG emissions.</w:t>
      </w:r>
      <w:r w:rsidRPr="00DB6172">
        <w:rPr>
          <w:rFonts w:ascii="Verdana" w:hAnsi="Verdana"/>
          <w:sz w:val="20"/>
          <w:szCs w:val="20"/>
          <w:lang w:val="en-GB"/>
        </w:rPr>
        <w:t xml:space="preserve"> </w:t>
      </w:r>
      <w:r w:rsidR="002C6485" w:rsidRPr="00DB6172">
        <w:rPr>
          <w:rFonts w:ascii="Verdana" w:hAnsi="Verdana"/>
          <w:sz w:val="20"/>
          <w:szCs w:val="20"/>
          <w:lang w:val="en-GB"/>
        </w:rPr>
        <w:t>Obtained data were used to calculate GHG emissions, where calculation based on a methodology prescribed in the Guidelines of the Intergovernmental Panel on Climate Change (IPCC) (IPCC, 2006).</w:t>
      </w:r>
    </w:p>
    <w:p w14:paraId="6B746614" w14:textId="77777777" w:rsidR="005816F9" w:rsidRPr="00DB6172" w:rsidRDefault="005816F9" w:rsidP="00834DE2">
      <w:pPr>
        <w:spacing w:after="120" w:line="240" w:lineRule="auto"/>
        <w:jc w:val="both"/>
        <w:rPr>
          <w:rFonts w:ascii="Verdana" w:hAnsi="Verdana"/>
          <w:b/>
          <w:sz w:val="20"/>
          <w:szCs w:val="20"/>
          <w:lang w:val="en-GB"/>
        </w:rPr>
      </w:pPr>
      <w:r w:rsidRPr="00DB6172">
        <w:rPr>
          <w:rFonts w:ascii="Verdana" w:hAnsi="Verdana"/>
          <w:b/>
          <w:sz w:val="20"/>
          <w:szCs w:val="20"/>
          <w:lang w:val="en-GB"/>
        </w:rPr>
        <w:t>Key results and discussion</w:t>
      </w:r>
    </w:p>
    <w:p w14:paraId="079916B0" w14:textId="59CBB38C" w:rsidR="004F74CF" w:rsidRPr="00DB6172" w:rsidRDefault="00520B82" w:rsidP="001F53C6">
      <w:pPr>
        <w:spacing w:line="240" w:lineRule="auto"/>
        <w:jc w:val="both"/>
        <w:rPr>
          <w:rFonts w:ascii="Verdana" w:hAnsi="Verdana"/>
          <w:sz w:val="20"/>
          <w:szCs w:val="20"/>
          <w:lang w:val="en-GB"/>
        </w:rPr>
      </w:pPr>
      <w:r w:rsidRPr="00DB6172">
        <w:rPr>
          <w:rFonts w:ascii="Verdana" w:hAnsi="Verdana"/>
          <w:sz w:val="20"/>
          <w:szCs w:val="20"/>
          <w:lang w:val="en-GB"/>
        </w:rPr>
        <w:t>Characteristics of identified farm clusters are given in Table 1, where organic farms are represented by Cluster 4.</w:t>
      </w:r>
      <w:r w:rsidR="00834DE2">
        <w:rPr>
          <w:rFonts w:ascii="Verdana" w:hAnsi="Verdana"/>
          <w:sz w:val="20"/>
          <w:szCs w:val="20"/>
          <w:lang w:val="en-GB"/>
        </w:rPr>
        <w:t xml:space="preserve"> </w:t>
      </w:r>
      <w:r w:rsidR="00834DE2" w:rsidRPr="00DB6172">
        <w:rPr>
          <w:rFonts w:ascii="Verdana" w:hAnsi="Verdana"/>
          <w:sz w:val="20"/>
          <w:szCs w:val="20"/>
          <w:lang w:val="en-GB"/>
        </w:rPr>
        <w:t xml:space="preserve">Preformed farm typology and obtained indicators characterizing performance of different farming systems </w:t>
      </w:r>
      <w:r w:rsidR="00834DE2" w:rsidRPr="00DB6172">
        <w:rPr>
          <w:rFonts w:ascii="Verdana" w:hAnsi="Verdana" w:cs="Times New Roman"/>
          <w:sz w:val="20"/>
          <w:szCs w:val="20"/>
          <w:shd w:val="clear" w:color="auto" w:fill="FFFFFF"/>
          <w:lang w:val="en-GB"/>
        </w:rPr>
        <w:t>were used to determine role and contribution of organic farms in agricultural GHG emissions in Latvia (Table 2).</w:t>
      </w:r>
      <w:r w:rsidR="00834DE2">
        <w:rPr>
          <w:rFonts w:ascii="Verdana" w:hAnsi="Verdana" w:cs="Times New Roman"/>
          <w:sz w:val="20"/>
          <w:szCs w:val="20"/>
          <w:shd w:val="clear" w:color="auto" w:fill="FFFFFF"/>
          <w:lang w:val="en-GB"/>
        </w:rPr>
        <w:t xml:space="preserve"> </w:t>
      </w:r>
    </w:p>
    <w:p w14:paraId="79697707" w14:textId="487E48E0" w:rsidR="004F74CF" w:rsidRPr="00DB6172" w:rsidRDefault="004F74CF" w:rsidP="00834DE2">
      <w:pPr>
        <w:keepNext/>
        <w:spacing w:after="120" w:line="240" w:lineRule="auto"/>
        <w:jc w:val="both"/>
        <w:rPr>
          <w:rFonts w:ascii="Verdana" w:hAnsi="Verdana"/>
          <w:sz w:val="20"/>
          <w:szCs w:val="20"/>
          <w:lang w:val="en-GB"/>
        </w:rPr>
      </w:pPr>
      <w:r w:rsidRPr="00DB6172">
        <w:rPr>
          <w:rFonts w:ascii="Verdana" w:hAnsi="Verdana"/>
          <w:sz w:val="20"/>
          <w:szCs w:val="20"/>
          <w:lang w:val="en-GB"/>
        </w:rPr>
        <w:lastRenderedPageBreak/>
        <w:t xml:space="preserve">Table 1. </w:t>
      </w:r>
      <w:r w:rsidRPr="00DB6172">
        <w:rPr>
          <w:rFonts w:ascii="Verdana" w:hAnsi="Verdana"/>
          <w:b/>
          <w:sz w:val="20"/>
          <w:szCs w:val="20"/>
          <w:lang w:val="en-GB"/>
        </w:rPr>
        <w:t>Characteristics of identified farm clusters in Latvia</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423"/>
        <w:gridCol w:w="1134"/>
        <w:gridCol w:w="1134"/>
        <w:gridCol w:w="1134"/>
        <w:gridCol w:w="1134"/>
        <w:gridCol w:w="1169"/>
      </w:tblGrid>
      <w:tr w:rsidR="004F74CF" w:rsidRPr="00DB6172" w14:paraId="0F28B8BE" w14:textId="77777777" w:rsidTr="004F74CF">
        <w:trPr>
          <w:trHeight w:val="252"/>
          <w:jc w:val="center"/>
        </w:trPr>
        <w:tc>
          <w:tcPr>
            <w:tcW w:w="3423" w:type="dxa"/>
            <w:shd w:val="clear" w:color="auto" w:fill="auto"/>
            <w:tcMar>
              <w:top w:w="15" w:type="dxa"/>
              <w:left w:w="15" w:type="dxa"/>
              <w:bottom w:w="0" w:type="dxa"/>
              <w:right w:w="15" w:type="dxa"/>
            </w:tcMar>
            <w:vAlign w:val="center"/>
            <w:hideMark/>
          </w:tcPr>
          <w:p w14:paraId="7E1A10AE"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Indicator</w:t>
            </w:r>
          </w:p>
        </w:tc>
        <w:tc>
          <w:tcPr>
            <w:tcW w:w="1134" w:type="dxa"/>
            <w:shd w:val="clear" w:color="auto" w:fill="auto"/>
            <w:tcMar>
              <w:top w:w="15" w:type="dxa"/>
              <w:left w:w="15" w:type="dxa"/>
              <w:bottom w:w="0" w:type="dxa"/>
              <w:right w:w="15" w:type="dxa"/>
            </w:tcMar>
            <w:vAlign w:val="center"/>
            <w:hideMark/>
          </w:tcPr>
          <w:p w14:paraId="48FEE86F"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Cluster 1</w:t>
            </w:r>
          </w:p>
        </w:tc>
        <w:tc>
          <w:tcPr>
            <w:tcW w:w="1134" w:type="dxa"/>
            <w:shd w:val="clear" w:color="auto" w:fill="auto"/>
            <w:tcMar>
              <w:top w:w="15" w:type="dxa"/>
              <w:left w:w="15" w:type="dxa"/>
              <w:bottom w:w="0" w:type="dxa"/>
              <w:right w:w="15" w:type="dxa"/>
            </w:tcMar>
            <w:vAlign w:val="center"/>
            <w:hideMark/>
          </w:tcPr>
          <w:p w14:paraId="7627C283"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Cluster 2</w:t>
            </w:r>
          </w:p>
        </w:tc>
        <w:tc>
          <w:tcPr>
            <w:tcW w:w="1134" w:type="dxa"/>
            <w:shd w:val="clear" w:color="auto" w:fill="auto"/>
            <w:tcMar>
              <w:top w:w="15" w:type="dxa"/>
              <w:left w:w="15" w:type="dxa"/>
              <w:bottom w:w="0" w:type="dxa"/>
              <w:right w:w="15" w:type="dxa"/>
            </w:tcMar>
            <w:vAlign w:val="center"/>
            <w:hideMark/>
          </w:tcPr>
          <w:p w14:paraId="6E5E13C6"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Cluster 3</w:t>
            </w:r>
          </w:p>
        </w:tc>
        <w:tc>
          <w:tcPr>
            <w:tcW w:w="1134" w:type="dxa"/>
            <w:shd w:val="clear" w:color="auto" w:fill="EEECE1" w:themeFill="background2"/>
            <w:tcMar>
              <w:top w:w="15" w:type="dxa"/>
              <w:left w:w="15" w:type="dxa"/>
              <w:bottom w:w="0" w:type="dxa"/>
              <w:right w:w="15" w:type="dxa"/>
            </w:tcMar>
            <w:vAlign w:val="center"/>
            <w:hideMark/>
          </w:tcPr>
          <w:p w14:paraId="2A297A42"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Cluster 4</w:t>
            </w:r>
          </w:p>
        </w:tc>
        <w:tc>
          <w:tcPr>
            <w:tcW w:w="1169" w:type="dxa"/>
            <w:shd w:val="clear" w:color="auto" w:fill="auto"/>
            <w:tcMar>
              <w:top w:w="15" w:type="dxa"/>
              <w:left w:w="15" w:type="dxa"/>
              <w:bottom w:w="0" w:type="dxa"/>
              <w:right w:w="15" w:type="dxa"/>
            </w:tcMar>
            <w:vAlign w:val="center"/>
            <w:hideMark/>
          </w:tcPr>
          <w:p w14:paraId="1443FC0A"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b/>
                <w:bCs/>
                <w:sz w:val="18"/>
                <w:szCs w:val="18"/>
                <w:lang w:val="en-GB"/>
              </w:rPr>
              <w:t>Cluster 5</w:t>
            </w:r>
          </w:p>
        </w:tc>
      </w:tr>
      <w:tr w:rsidR="004F74CF" w:rsidRPr="00DB6172" w14:paraId="490D143D" w14:textId="77777777" w:rsidTr="004F74CF">
        <w:trPr>
          <w:trHeight w:val="160"/>
          <w:jc w:val="center"/>
        </w:trPr>
        <w:tc>
          <w:tcPr>
            <w:tcW w:w="3423" w:type="dxa"/>
            <w:shd w:val="clear" w:color="auto" w:fill="auto"/>
            <w:tcMar>
              <w:top w:w="15" w:type="dxa"/>
              <w:left w:w="15" w:type="dxa"/>
              <w:bottom w:w="0" w:type="dxa"/>
              <w:right w:w="15" w:type="dxa"/>
            </w:tcMar>
            <w:vAlign w:val="bottom"/>
            <w:hideMark/>
          </w:tcPr>
          <w:p w14:paraId="284411D7" w14:textId="77777777" w:rsidR="00A834FF" w:rsidRPr="00DB6172" w:rsidRDefault="004F74CF" w:rsidP="00834DE2">
            <w:pPr>
              <w:keepNext/>
              <w:spacing w:after="0" w:line="240" w:lineRule="auto"/>
              <w:jc w:val="both"/>
              <w:rPr>
                <w:rFonts w:ascii="Verdana" w:hAnsi="Verdana" w:cs="Times New Roman"/>
                <w:sz w:val="18"/>
                <w:szCs w:val="18"/>
                <w:lang w:val="en-GB"/>
              </w:rPr>
            </w:pPr>
            <w:r w:rsidRPr="00DB6172">
              <w:rPr>
                <w:rFonts w:ascii="Verdana" w:hAnsi="Verdana" w:cs="Times New Roman"/>
                <w:sz w:val="18"/>
                <w:szCs w:val="18"/>
                <w:lang w:val="en-GB"/>
              </w:rPr>
              <w:t>Number of farms</w:t>
            </w:r>
          </w:p>
        </w:tc>
        <w:tc>
          <w:tcPr>
            <w:tcW w:w="1134" w:type="dxa"/>
            <w:shd w:val="clear" w:color="auto" w:fill="auto"/>
            <w:tcMar>
              <w:top w:w="15" w:type="dxa"/>
              <w:left w:w="15" w:type="dxa"/>
              <w:bottom w:w="0" w:type="dxa"/>
              <w:right w:w="15" w:type="dxa"/>
            </w:tcMar>
            <w:vAlign w:val="bottom"/>
            <w:hideMark/>
          </w:tcPr>
          <w:p w14:paraId="566D1D27"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286</w:t>
            </w:r>
          </w:p>
        </w:tc>
        <w:tc>
          <w:tcPr>
            <w:tcW w:w="1134" w:type="dxa"/>
            <w:shd w:val="clear" w:color="auto" w:fill="auto"/>
            <w:tcMar>
              <w:top w:w="15" w:type="dxa"/>
              <w:left w:w="15" w:type="dxa"/>
              <w:bottom w:w="0" w:type="dxa"/>
              <w:right w:w="15" w:type="dxa"/>
            </w:tcMar>
            <w:vAlign w:val="bottom"/>
            <w:hideMark/>
          </w:tcPr>
          <w:p w14:paraId="330435EA"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110</w:t>
            </w:r>
          </w:p>
        </w:tc>
        <w:tc>
          <w:tcPr>
            <w:tcW w:w="1134" w:type="dxa"/>
            <w:shd w:val="clear" w:color="auto" w:fill="auto"/>
            <w:tcMar>
              <w:top w:w="15" w:type="dxa"/>
              <w:left w:w="15" w:type="dxa"/>
              <w:bottom w:w="0" w:type="dxa"/>
              <w:right w:w="15" w:type="dxa"/>
            </w:tcMar>
            <w:vAlign w:val="bottom"/>
            <w:hideMark/>
          </w:tcPr>
          <w:p w14:paraId="43951631"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20797</w:t>
            </w:r>
          </w:p>
        </w:tc>
        <w:tc>
          <w:tcPr>
            <w:tcW w:w="1134" w:type="dxa"/>
            <w:shd w:val="clear" w:color="auto" w:fill="EEECE1" w:themeFill="background2"/>
            <w:tcMar>
              <w:top w:w="15" w:type="dxa"/>
              <w:left w:w="15" w:type="dxa"/>
              <w:bottom w:w="0" w:type="dxa"/>
              <w:right w:w="15" w:type="dxa"/>
            </w:tcMar>
            <w:vAlign w:val="bottom"/>
            <w:hideMark/>
          </w:tcPr>
          <w:p w14:paraId="49813AE1"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3473</w:t>
            </w:r>
          </w:p>
        </w:tc>
        <w:tc>
          <w:tcPr>
            <w:tcW w:w="1169" w:type="dxa"/>
            <w:shd w:val="clear" w:color="auto" w:fill="auto"/>
            <w:tcMar>
              <w:top w:w="15" w:type="dxa"/>
              <w:left w:w="15" w:type="dxa"/>
              <w:bottom w:w="0" w:type="dxa"/>
              <w:right w:w="15" w:type="dxa"/>
            </w:tcMar>
            <w:vAlign w:val="bottom"/>
            <w:hideMark/>
          </w:tcPr>
          <w:p w14:paraId="7DBCA4D9"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57130</w:t>
            </w:r>
          </w:p>
        </w:tc>
      </w:tr>
      <w:tr w:rsidR="004F74CF" w:rsidRPr="00DB6172" w14:paraId="0F668739" w14:textId="77777777" w:rsidTr="004F74CF">
        <w:trPr>
          <w:trHeight w:val="264"/>
          <w:jc w:val="center"/>
        </w:trPr>
        <w:tc>
          <w:tcPr>
            <w:tcW w:w="3423" w:type="dxa"/>
            <w:shd w:val="clear" w:color="auto" w:fill="auto"/>
            <w:tcMar>
              <w:top w:w="15" w:type="dxa"/>
              <w:left w:w="15" w:type="dxa"/>
              <w:bottom w:w="0" w:type="dxa"/>
              <w:right w:w="15" w:type="dxa"/>
            </w:tcMar>
            <w:vAlign w:val="bottom"/>
            <w:hideMark/>
          </w:tcPr>
          <w:p w14:paraId="15CE484C" w14:textId="77777777" w:rsidR="00A834FF" w:rsidRPr="00DB6172" w:rsidRDefault="004F74CF" w:rsidP="00834DE2">
            <w:pPr>
              <w:keepNext/>
              <w:spacing w:after="0" w:line="240" w:lineRule="auto"/>
              <w:jc w:val="both"/>
              <w:rPr>
                <w:rFonts w:ascii="Verdana" w:hAnsi="Verdana" w:cs="Times New Roman"/>
                <w:sz w:val="18"/>
                <w:szCs w:val="18"/>
                <w:lang w:val="en-GB"/>
              </w:rPr>
            </w:pPr>
            <w:r w:rsidRPr="00DB6172">
              <w:rPr>
                <w:rFonts w:ascii="Verdana" w:hAnsi="Verdana" w:cs="Times New Roman"/>
                <w:sz w:val="18"/>
                <w:szCs w:val="18"/>
                <w:lang w:val="en-GB"/>
              </w:rPr>
              <w:t>Used UAA, % from total</w:t>
            </w:r>
          </w:p>
        </w:tc>
        <w:tc>
          <w:tcPr>
            <w:tcW w:w="1134" w:type="dxa"/>
            <w:shd w:val="clear" w:color="auto" w:fill="auto"/>
            <w:tcMar>
              <w:top w:w="15" w:type="dxa"/>
              <w:left w:w="15" w:type="dxa"/>
              <w:bottom w:w="0" w:type="dxa"/>
              <w:right w:w="15" w:type="dxa"/>
            </w:tcMar>
            <w:vAlign w:val="bottom"/>
            <w:hideMark/>
          </w:tcPr>
          <w:p w14:paraId="25B840CF"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15%</w:t>
            </w:r>
          </w:p>
        </w:tc>
        <w:tc>
          <w:tcPr>
            <w:tcW w:w="1134" w:type="dxa"/>
            <w:shd w:val="clear" w:color="auto" w:fill="auto"/>
            <w:tcMar>
              <w:top w:w="15" w:type="dxa"/>
              <w:left w:w="15" w:type="dxa"/>
              <w:bottom w:w="0" w:type="dxa"/>
              <w:right w:w="15" w:type="dxa"/>
            </w:tcMar>
            <w:vAlign w:val="bottom"/>
            <w:hideMark/>
          </w:tcPr>
          <w:p w14:paraId="289B1DB1"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9%</w:t>
            </w:r>
          </w:p>
        </w:tc>
        <w:tc>
          <w:tcPr>
            <w:tcW w:w="1134" w:type="dxa"/>
            <w:shd w:val="clear" w:color="auto" w:fill="auto"/>
            <w:tcMar>
              <w:top w:w="15" w:type="dxa"/>
              <w:left w:w="15" w:type="dxa"/>
              <w:bottom w:w="0" w:type="dxa"/>
              <w:right w:w="15" w:type="dxa"/>
            </w:tcMar>
            <w:vAlign w:val="bottom"/>
            <w:hideMark/>
          </w:tcPr>
          <w:p w14:paraId="61CED6A1"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46%</w:t>
            </w:r>
          </w:p>
        </w:tc>
        <w:tc>
          <w:tcPr>
            <w:tcW w:w="1134" w:type="dxa"/>
            <w:shd w:val="clear" w:color="auto" w:fill="EEECE1" w:themeFill="background2"/>
            <w:tcMar>
              <w:top w:w="15" w:type="dxa"/>
              <w:left w:w="15" w:type="dxa"/>
              <w:bottom w:w="0" w:type="dxa"/>
              <w:right w:w="15" w:type="dxa"/>
            </w:tcMar>
            <w:vAlign w:val="bottom"/>
            <w:hideMark/>
          </w:tcPr>
          <w:p w14:paraId="570CDBB1"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10%</w:t>
            </w:r>
          </w:p>
        </w:tc>
        <w:tc>
          <w:tcPr>
            <w:tcW w:w="1169" w:type="dxa"/>
            <w:shd w:val="clear" w:color="auto" w:fill="auto"/>
            <w:tcMar>
              <w:top w:w="15" w:type="dxa"/>
              <w:left w:w="15" w:type="dxa"/>
              <w:bottom w:w="0" w:type="dxa"/>
              <w:right w:w="15" w:type="dxa"/>
            </w:tcMar>
            <w:vAlign w:val="bottom"/>
            <w:hideMark/>
          </w:tcPr>
          <w:p w14:paraId="23550326"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20%</w:t>
            </w:r>
          </w:p>
        </w:tc>
      </w:tr>
      <w:tr w:rsidR="004F74CF" w:rsidRPr="00DB6172" w14:paraId="3F440D74" w14:textId="77777777" w:rsidTr="004F74CF">
        <w:trPr>
          <w:trHeight w:val="168"/>
          <w:jc w:val="center"/>
        </w:trPr>
        <w:tc>
          <w:tcPr>
            <w:tcW w:w="3423" w:type="dxa"/>
            <w:shd w:val="clear" w:color="auto" w:fill="auto"/>
            <w:tcMar>
              <w:top w:w="15" w:type="dxa"/>
              <w:left w:w="15" w:type="dxa"/>
              <w:bottom w:w="0" w:type="dxa"/>
              <w:right w:w="15" w:type="dxa"/>
            </w:tcMar>
            <w:vAlign w:val="bottom"/>
            <w:hideMark/>
          </w:tcPr>
          <w:p w14:paraId="6B5E54F2" w14:textId="77777777" w:rsidR="00A834FF" w:rsidRPr="00DB6172" w:rsidRDefault="004F74CF" w:rsidP="00834DE2">
            <w:pPr>
              <w:keepNext/>
              <w:spacing w:after="0" w:line="240" w:lineRule="auto"/>
              <w:jc w:val="both"/>
              <w:rPr>
                <w:rFonts w:ascii="Verdana" w:hAnsi="Verdana" w:cs="Times New Roman"/>
                <w:sz w:val="18"/>
                <w:szCs w:val="18"/>
                <w:lang w:val="en-GB"/>
              </w:rPr>
            </w:pPr>
            <w:r w:rsidRPr="00DB6172">
              <w:rPr>
                <w:rFonts w:ascii="Verdana" w:hAnsi="Verdana" w:cs="Times New Roman"/>
                <w:sz w:val="18"/>
                <w:szCs w:val="18"/>
                <w:lang w:val="en-GB"/>
              </w:rPr>
              <w:t>Average UAA per farm, ha</w:t>
            </w:r>
          </w:p>
        </w:tc>
        <w:tc>
          <w:tcPr>
            <w:tcW w:w="1134" w:type="dxa"/>
            <w:shd w:val="clear" w:color="auto" w:fill="auto"/>
            <w:tcMar>
              <w:top w:w="15" w:type="dxa"/>
              <w:left w:w="15" w:type="dxa"/>
              <w:bottom w:w="0" w:type="dxa"/>
              <w:right w:w="15" w:type="dxa"/>
            </w:tcMar>
            <w:vAlign w:val="bottom"/>
            <w:hideMark/>
          </w:tcPr>
          <w:p w14:paraId="1CEDAD72"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992</w:t>
            </w:r>
          </w:p>
        </w:tc>
        <w:tc>
          <w:tcPr>
            <w:tcW w:w="1134" w:type="dxa"/>
            <w:shd w:val="clear" w:color="auto" w:fill="auto"/>
            <w:tcMar>
              <w:top w:w="15" w:type="dxa"/>
              <w:left w:w="15" w:type="dxa"/>
              <w:bottom w:w="0" w:type="dxa"/>
              <w:right w:w="15" w:type="dxa"/>
            </w:tcMar>
            <w:vAlign w:val="bottom"/>
            <w:hideMark/>
          </w:tcPr>
          <w:p w14:paraId="6523A6AF"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1552</w:t>
            </w:r>
          </w:p>
        </w:tc>
        <w:tc>
          <w:tcPr>
            <w:tcW w:w="1134" w:type="dxa"/>
            <w:shd w:val="clear" w:color="auto" w:fill="auto"/>
            <w:tcMar>
              <w:top w:w="15" w:type="dxa"/>
              <w:left w:w="15" w:type="dxa"/>
              <w:bottom w:w="0" w:type="dxa"/>
              <w:right w:w="15" w:type="dxa"/>
            </w:tcMar>
            <w:vAlign w:val="bottom"/>
            <w:hideMark/>
          </w:tcPr>
          <w:p w14:paraId="23BE713A"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41</w:t>
            </w:r>
          </w:p>
        </w:tc>
        <w:tc>
          <w:tcPr>
            <w:tcW w:w="1134" w:type="dxa"/>
            <w:shd w:val="clear" w:color="auto" w:fill="EEECE1" w:themeFill="background2"/>
            <w:tcMar>
              <w:top w:w="15" w:type="dxa"/>
              <w:left w:w="15" w:type="dxa"/>
              <w:bottom w:w="0" w:type="dxa"/>
              <w:right w:w="15" w:type="dxa"/>
            </w:tcMar>
            <w:vAlign w:val="bottom"/>
            <w:hideMark/>
          </w:tcPr>
          <w:p w14:paraId="5C0A75E4"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54</w:t>
            </w:r>
          </w:p>
        </w:tc>
        <w:tc>
          <w:tcPr>
            <w:tcW w:w="1169" w:type="dxa"/>
            <w:shd w:val="clear" w:color="auto" w:fill="auto"/>
            <w:tcMar>
              <w:top w:w="15" w:type="dxa"/>
              <w:left w:w="15" w:type="dxa"/>
              <w:bottom w:w="0" w:type="dxa"/>
              <w:right w:w="15" w:type="dxa"/>
            </w:tcMar>
            <w:vAlign w:val="bottom"/>
            <w:hideMark/>
          </w:tcPr>
          <w:p w14:paraId="18599208"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7</w:t>
            </w:r>
          </w:p>
        </w:tc>
      </w:tr>
      <w:tr w:rsidR="004F74CF" w:rsidRPr="00DB6172" w14:paraId="2873399C" w14:textId="77777777" w:rsidTr="004F74CF">
        <w:trPr>
          <w:trHeight w:val="186"/>
          <w:jc w:val="center"/>
        </w:trPr>
        <w:tc>
          <w:tcPr>
            <w:tcW w:w="9128" w:type="dxa"/>
            <w:gridSpan w:val="6"/>
            <w:shd w:val="clear" w:color="auto" w:fill="auto"/>
            <w:tcMar>
              <w:top w:w="15" w:type="dxa"/>
              <w:left w:w="15" w:type="dxa"/>
              <w:bottom w:w="0" w:type="dxa"/>
              <w:right w:w="15" w:type="dxa"/>
            </w:tcMar>
            <w:vAlign w:val="bottom"/>
            <w:hideMark/>
          </w:tcPr>
          <w:p w14:paraId="13225DC0" w14:textId="42653F54" w:rsidR="004F74CF" w:rsidRPr="00DB6172" w:rsidRDefault="004F74CF" w:rsidP="00834DE2">
            <w:pPr>
              <w:keepNext/>
              <w:spacing w:after="0" w:line="240" w:lineRule="auto"/>
              <w:rPr>
                <w:rFonts w:ascii="Verdana" w:hAnsi="Verdana" w:cs="Times New Roman"/>
                <w:sz w:val="18"/>
                <w:szCs w:val="18"/>
                <w:lang w:val="en-GB"/>
              </w:rPr>
            </w:pPr>
            <w:r w:rsidRPr="00DB6172">
              <w:rPr>
                <w:rFonts w:ascii="Verdana" w:hAnsi="Verdana" w:cs="Times New Roman"/>
                <w:sz w:val="18"/>
                <w:szCs w:val="18"/>
                <w:lang w:val="en-GB"/>
              </w:rPr>
              <w:t>Agricultural animals, % from total </w:t>
            </w:r>
          </w:p>
        </w:tc>
      </w:tr>
      <w:tr w:rsidR="004F74CF" w:rsidRPr="00DB6172" w14:paraId="6BC9D401" w14:textId="77777777" w:rsidTr="004F74CF">
        <w:trPr>
          <w:trHeight w:val="204"/>
          <w:jc w:val="center"/>
        </w:trPr>
        <w:tc>
          <w:tcPr>
            <w:tcW w:w="3423" w:type="dxa"/>
            <w:shd w:val="clear" w:color="auto" w:fill="auto"/>
            <w:tcMar>
              <w:top w:w="15" w:type="dxa"/>
              <w:left w:w="15" w:type="dxa"/>
              <w:bottom w:w="0" w:type="dxa"/>
              <w:right w:w="15" w:type="dxa"/>
            </w:tcMar>
            <w:vAlign w:val="bottom"/>
            <w:hideMark/>
          </w:tcPr>
          <w:p w14:paraId="6775EB9D" w14:textId="77777777" w:rsidR="00A834FF" w:rsidRPr="00DB6172" w:rsidRDefault="004F74CF"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Non-dairy cattle</w:t>
            </w:r>
          </w:p>
        </w:tc>
        <w:tc>
          <w:tcPr>
            <w:tcW w:w="1134" w:type="dxa"/>
            <w:shd w:val="clear" w:color="auto" w:fill="auto"/>
            <w:tcMar>
              <w:top w:w="15" w:type="dxa"/>
              <w:left w:w="15" w:type="dxa"/>
              <w:bottom w:w="0" w:type="dxa"/>
              <w:right w:w="15" w:type="dxa"/>
            </w:tcMar>
            <w:vAlign w:val="bottom"/>
            <w:hideMark/>
          </w:tcPr>
          <w:p w14:paraId="31DCCCFD"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25%</w:t>
            </w:r>
          </w:p>
        </w:tc>
        <w:tc>
          <w:tcPr>
            <w:tcW w:w="1134" w:type="dxa"/>
            <w:shd w:val="clear" w:color="auto" w:fill="auto"/>
            <w:tcMar>
              <w:top w:w="15" w:type="dxa"/>
              <w:left w:w="15" w:type="dxa"/>
              <w:bottom w:w="0" w:type="dxa"/>
              <w:right w:w="15" w:type="dxa"/>
            </w:tcMar>
            <w:vAlign w:val="bottom"/>
            <w:hideMark/>
          </w:tcPr>
          <w:p w14:paraId="7EB0CF69"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hideMark/>
          </w:tcPr>
          <w:p w14:paraId="6011F69D"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33%</w:t>
            </w:r>
          </w:p>
        </w:tc>
        <w:tc>
          <w:tcPr>
            <w:tcW w:w="1134" w:type="dxa"/>
            <w:shd w:val="clear" w:color="auto" w:fill="EEECE1" w:themeFill="background2"/>
            <w:tcMar>
              <w:top w:w="15" w:type="dxa"/>
              <w:left w:w="15" w:type="dxa"/>
              <w:bottom w:w="0" w:type="dxa"/>
              <w:right w:w="15" w:type="dxa"/>
            </w:tcMar>
            <w:vAlign w:val="bottom"/>
            <w:hideMark/>
          </w:tcPr>
          <w:p w14:paraId="2C2ECE76"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30%</w:t>
            </w:r>
          </w:p>
        </w:tc>
        <w:tc>
          <w:tcPr>
            <w:tcW w:w="1169" w:type="dxa"/>
            <w:shd w:val="clear" w:color="auto" w:fill="auto"/>
            <w:tcMar>
              <w:top w:w="15" w:type="dxa"/>
              <w:left w:w="15" w:type="dxa"/>
              <w:bottom w:w="0" w:type="dxa"/>
              <w:right w:w="15" w:type="dxa"/>
            </w:tcMar>
            <w:vAlign w:val="bottom"/>
            <w:hideMark/>
          </w:tcPr>
          <w:p w14:paraId="1AB34E26"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12%</w:t>
            </w:r>
          </w:p>
        </w:tc>
      </w:tr>
      <w:tr w:rsidR="004F74CF" w:rsidRPr="00DB6172" w14:paraId="607CAAEF" w14:textId="77777777" w:rsidTr="004F74CF">
        <w:trPr>
          <w:trHeight w:val="208"/>
          <w:jc w:val="center"/>
        </w:trPr>
        <w:tc>
          <w:tcPr>
            <w:tcW w:w="3423" w:type="dxa"/>
            <w:shd w:val="clear" w:color="auto" w:fill="auto"/>
            <w:tcMar>
              <w:top w:w="15" w:type="dxa"/>
              <w:left w:w="15" w:type="dxa"/>
              <w:bottom w:w="0" w:type="dxa"/>
              <w:right w:w="15" w:type="dxa"/>
            </w:tcMar>
            <w:vAlign w:val="bottom"/>
            <w:hideMark/>
          </w:tcPr>
          <w:p w14:paraId="38D72027" w14:textId="77777777" w:rsidR="00A834FF" w:rsidRPr="00DB6172" w:rsidRDefault="004F74CF"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Dairy cattle</w:t>
            </w:r>
          </w:p>
        </w:tc>
        <w:tc>
          <w:tcPr>
            <w:tcW w:w="1134" w:type="dxa"/>
            <w:shd w:val="clear" w:color="auto" w:fill="auto"/>
            <w:tcMar>
              <w:top w:w="15" w:type="dxa"/>
              <w:left w:w="15" w:type="dxa"/>
              <w:bottom w:w="0" w:type="dxa"/>
              <w:right w:w="15" w:type="dxa"/>
            </w:tcMar>
            <w:vAlign w:val="bottom"/>
            <w:hideMark/>
          </w:tcPr>
          <w:p w14:paraId="2FF94053"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65%</w:t>
            </w:r>
          </w:p>
        </w:tc>
        <w:tc>
          <w:tcPr>
            <w:tcW w:w="1134" w:type="dxa"/>
            <w:shd w:val="clear" w:color="auto" w:fill="auto"/>
            <w:tcMar>
              <w:top w:w="15" w:type="dxa"/>
              <w:left w:w="15" w:type="dxa"/>
              <w:bottom w:w="0" w:type="dxa"/>
              <w:right w:w="15" w:type="dxa"/>
            </w:tcMar>
            <w:vAlign w:val="bottom"/>
            <w:hideMark/>
          </w:tcPr>
          <w:p w14:paraId="082586EC"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hideMark/>
          </w:tcPr>
          <w:p w14:paraId="22B5CC40"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22%</w:t>
            </w:r>
          </w:p>
        </w:tc>
        <w:tc>
          <w:tcPr>
            <w:tcW w:w="1134" w:type="dxa"/>
            <w:shd w:val="clear" w:color="auto" w:fill="EEECE1" w:themeFill="background2"/>
            <w:tcMar>
              <w:top w:w="15" w:type="dxa"/>
              <w:left w:w="15" w:type="dxa"/>
              <w:bottom w:w="0" w:type="dxa"/>
              <w:right w:w="15" w:type="dxa"/>
            </w:tcMar>
            <w:vAlign w:val="bottom"/>
            <w:hideMark/>
          </w:tcPr>
          <w:p w14:paraId="336975CA"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7%</w:t>
            </w:r>
          </w:p>
        </w:tc>
        <w:tc>
          <w:tcPr>
            <w:tcW w:w="1169" w:type="dxa"/>
            <w:shd w:val="clear" w:color="auto" w:fill="auto"/>
            <w:tcMar>
              <w:top w:w="15" w:type="dxa"/>
              <w:left w:w="15" w:type="dxa"/>
              <w:bottom w:w="0" w:type="dxa"/>
              <w:right w:w="15" w:type="dxa"/>
            </w:tcMar>
            <w:vAlign w:val="bottom"/>
            <w:hideMark/>
          </w:tcPr>
          <w:p w14:paraId="6FD8853F" w14:textId="77777777" w:rsidR="00A834FF" w:rsidRPr="00DB6172" w:rsidRDefault="004F74CF"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w:t>
            </w:r>
          </w:p>
        </w:tc>
      </w:tr>
      <w:tr w:rsidR="00834DE2" w:rsidRPr="00DB6172" w14:paraId="1BEC6BF6" w14:textId="77777777" w:rsidTr="004F74CF">
        <w:trPr>
          <w:trHeight w:val="208"/>
          <w:jc w:val="center"/>
        </w:trPr>
        <w:tc>
          <w:tcPr>
            <w:tcW w:w="3423" w:type="dxa"/>
            <w:shd w:val="clear" w:color="auto" w:fill="auto"/>
            <w:tcMar>
              <w:top w:w="15" w:type="dxa"/>
              <w:left w:w="15" w:type="dxa"/>
              <w:bottom w:w="0" w:type="dxa"/>
              <w:right w:w="15" w:type="dxa"/>
            </w:tcMar>
            <w:vAlign w:val="bottom"/>
          </w:tcPr>
          <w:p w14:paraId="5B07DF55" w14:textId="14594BB6" w:rsidR="00834DE2" w:rsidRPr="00DB6172" w:rsidRDefault="00834DE2"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Swine</w:t>
            </w:r>
          </w:p>
        </w:tc>
        <w:tc>
          <w:tcPr>
            <w:tcW w:w="1134" w:type="dxa"/>
            <w:shd w:val="clear" w:color="auto" w:fill="auto"/>
            <w:tcMar>
              <w:top w:w="15" w:type="dxa"/>
              <w:left w:w="15" w:type="dxa"/>
              <w:bottom w:w="0" w:type="dxa"/>
              <w:right w:w="15" w:type="dxa"/>
            </w:tcMar>
            <w:vAlign w:val="bottom"/>
          </w:tcPr>
          <w:p w14:paraId="580FB943" w14:textId="40BA4555"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82%</w:t>
            </w:r>
          </w:p>
        </w:tc>
        <w:tc>
          <w:tcPr>
            <w:tcW w:w="1134" w:type="dxa"/>
            <w:shd w:val="clear" w:color="auto" w:fill="auto"/>
            <w:tcMar>
              <w:top w:w="15" w:type="dxa"/>
              <w:left w:w="15" w:type="dxa"/>
              <w:bottom w:w="0" w:type="dxa"/>
              <w:right w:w="15" w:type="dxa"/>
            </w:tcMar>
            <w:vAlign w:val="bottom"/>
          </w:tcPr>
          <w:p w14:paraId="6E432311" w14:textId="45029AE8"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tcPr>
          <w:p w14:paraId="20A53A50" w14:textId="0FFD85A2"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14%</w:t>
            </w:r>
          </w:p>
        </w:tc>
        <w:tc>
          <w:tcPr>
            <w:tcW w:w="1134" w:type="dxa"/>
            <w:shd w:val="clear" w:color="auto" w:fill="EEECE1" w:themeFill="background2"/>
            <w:tcMar>
              <w:top w:w="15" w:type="dxa"/>
              <w:left w:w="15" w:type="dxa"/>
              <w:bottom w:w="0" w:type="dxa"/>
              <w:right w:w="15" w:type="dxa"/>
            </w:tcMar>
            <w:vAlign w:val="bottom"/>
          </w:tcPr>
          <w:p w14:paraId="7DBAE18E" w14:textId="0BFC590B"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w:t>
            </w:r>
          </w:p>
        </w:tc>
        <w:tc>
          <w:tcPr>
            <w:tcW w:w="1169" w:type="dxa"/>
            <w:shd w:val="clear" w:color="auto" w:fill="auto"/>
            <w:tcMar>
              <w:top w:w="15" w:type="dxa"/>
              <w:left w:w="15" w:type="dxa"/>
              <w:bottom w:w="0" w:type="dxa"/>
              <w:right w:w="15" w:type="dxa"/>
            </w:tcMar>
            <w:vAlign w:val="bottom"/>
          </w:tcPr>
          <w:p w14:paraId="056C0445" w14:textId="6AF0AF85"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w:t>
            </w:r>
          </w:p>
        </w:tc>
      </w:tr>
      <w:tr w:rsidR="00834DE2" w:rsidRPr="00DB6172" w14:paraId="64A5790D" w14:textId="77777777" w:rsidTr="00834DE2">
        <w:trPr>
          <w:trHeight w:val="226"/>
          <w:jc w:val="center"/>
        </w:trPr>
        <w:tc>
          <w:tcPr>
            <w:tcW w:w="3423" w:type="dxa"/>
            <w:shd w:val="clear" w:color="auto" w:fill="auto"/>
            <w:tcMar>
              <w:top w:w="15" w:type="dxa"/>
              <w:left w:w="15" w:type="dxa"/>
              <w:bottom w:w="0" w:type="dxa"/>
              <w:right w:w="15" w:type="dxa"/>
            </w:tcMar>
            <w:vAlign w:val="bottom"/>
          </w:tcPr>
          <w:p w14:paraId="29B685FE" w14:textId="5F74E7DC" w:rsidR="00834DE2" w:rsidRPr="00DB6172" w:rsidRDefault="00834DE2"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Poultry</w:t>
            </w:r>
          </w:p>
        </w:tc>
        <w:tc>
          <w:tcPr>
            <w:tcW w:w="1134" w:type="dxa"/>
            <w:shd w:val="clear" w:color="auto" w:fill="auto"/>
            <w:tcMar>
              <w:top w:w="15" w:type="dxa"/>
              <w:left w:w="15" w:type="dxa"/>
              <w:bottom w:w="0" w:type="dxa"/>
              <w:right w:w="15" w:type="dxa"/>
            </w:tcMar>
            <w:vAlign w:val="bottom"/>
          </w:tcPr>
          <w:p w14:paraId="5A3F1BB7" w14:textId="22EFBA24"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93%</w:t>
            </w:r>
          </w:p>
        </w:tc>
        <w:tc>
          <w:tcPr>
            <w:tcW w:w="1134" w:type="dxa"/>
            <w:shd w:val="clear" w:color="auto" w:fill="auto"/>
            <w:tcMar>
              <w:top w:w="15" w:type="dxa"/>
              <w:left w:w="15" w:type="dxa"/>
              <w:bottom w:w="0" w:type="dxa"/>
              <w:right w:w="15" w:type="dxa"/>
            </w:tcMar>
            <w:vAlign w:val="bottom"/>
          </w:tcPr>
          <w:p w14:paraId="42172F65" w14:textId="61C4BB09"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tcPr>
          <w:p w14:paraId="0E820F75" w14:textId="53483ECE"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6%</w:t>
            </w:r>
          </w:p>
        </w:tc>
        <w:tc>
          <w:tcPr>
            <w:tcW w:w="1134" w:type="dxa"/>
            <w:shd w:val="clear" w:color="auto" w:fill="EEECE1" w:themeFill="background2"/>
            <w:tcMar>
              <w:top w:w="15" w:type="dxa"/>
              <w:left w:w="15" w:type="dxa"/>
              <w:bottom w:w="0" w:type="dxa"/>
              <w:right w:w="15" w:type="dxa"/>
            </w:tcMar>
            <w:vAlign w:val="bottom"/>
          </w:tcPr>
          <w:p w14:paraId="2E97C635" w14:textId="159E4C51"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w:t>
            </w:r>
          </w:p>
        </w:tc>
        <w:tc>
          <w:tcPr>
            <w:tcW w:w="1169" w:type="dxa"/>
            <w:shd w:val="clear" w:color="auto" w:fill="auto"/>
            <w:tcMar>
              <w:top w:w="15" w:type="dxa"/>
              <w:left w:w="15" w:type="dxa"/>
              <w:bottom w:w="0" w:type="dxa"/>
              <w:right w:w="15" w:type="dxa"/>
            </w:tcMar>
            <w:vAlign w:val="bottom"/>
          </w:tcPr>
          <w:p w14:paraId="0F9BBCC5" w14:textId="74E26CFB"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r>
      <w:tr w:rsidR="00834DE2" w:rsidRPr="00DB6172" w14:paraId="0E46689D" w14:textId="77777777" w:rsidTr="00834DE2">
        <w:trPr>
          <w:trHeight w:val="116"/>
          <w:jc w:val="center"/>
        </w:trPr>
        <w:tc>
          <w:tcPr>
            <w:tcW w:w="3423" w:type="dxa"/>
            <w:shd w:val="clear" w:color="auto" w:fill="auto"/>
            <w:tcMar>
              <w:top w:w="15" w:type="dxa"/>
              <w:left w:w="15" w:type="dxa"/>
              <w:bottom w:w="0" w:type="dxa"/>
              <w:right w:w="15" w:type="dxa"/>
            </w:tcMar>
            <w:vAlign w:val="bottom"/>
          </w:tcPr>
          <w:p w14:paraId="3B21DD5C" w14:textId="0C3911F8" w:rsidR="00834DE2" w:rsidRPr="00DB6172" w:rsidRDefault="00834DE2" w:rsidP="00834DE2">
            <w:pPr>
              <w:keepNext/>
              <w:spacing w:after="0" w:line="240" w:lineRule="auto"/>
              <w:jc w:val="right"/>
              <w:rPr>
                <w:rFonts w:ascii="Verdana" w:hAnsi="Verdana" w:cs="Times New Roman"/>
                <w:sz w:val="18"/>
                <w:szCs w:val="18"/>
                <w:lang w:val="en-GB"/>
              </w:rPr>
            </w:pPr>
            <w:r>
              <w:rPr>
                <w:rFonts w:ascii="Verdana" w:hAnsi="Verdana" w:cs="Times New Roman"/>
                <w:sz w:val="18"/>
                <w:szCs w:val="18"/>
                <w:lang w:val="en-GB"/>
              </w:rPr>
              <w:t>Other animals</w:t>
            </w:r>
          </w:p>
        </w:tc>
        <w:tc>
          <w:tcPr>
            <w:tcW w:w="1134" w:type="dxa"/>
            <w:shd w:val="clear" w:color="auto" w:fill="auto"/>
            <w:tcMar>
              <w:top w:w="15" w:type="dxa"/>
              <w:left w:w="15" w:type="dxa"/>
              <w:bottom w:w="0" w:type="dxa"/>
              <w:right w:w="15" w:type="dxa"/>
            </w:tcMar>
            <w:vAlign w:val="bottom"/>
          </w:tcPr>
          <w:p w14:paraId="1D35F302" w14:textId="69EF843B"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tcPr>
          <w:p w14:paraId="39B84C60" w14:textId="24B0AF1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tcPr>
          <w:p w14:paraId="6E56BEA3" w14:textId="57C1E35C"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w:t>
            </w:r>
            <w:r>
              <w:rPr>
                <w:rFonts w:ascii="Verdana" w:hAnsi="Verdana" w:cs="Times New Roman"/>
                <w:sz w:val="18"/>
                <w:szCs w:val="18"/>
                <w:lang w:val="en-GB"/>
              </w:rPr>
              <w:t>5</w:t>
            </w:r>
            <w:r w:rsidRPr="00DB6172">
              <w:rPr>
                <w:rFonts w:ascii="Verdana" w:hAnsi="Verdana" w:cs="Times New Roman"/>
                <w:sz w:val="18"/>
                <w:szCs w:val="18"/>
                <w:lang w:val="en-GB"/>
              </w:rPr>
              <w:t>%</w:t>
            </w:r>
          </w:p>
        </w:tc>
        <w:tc>
          <w:tcPr>
            <w:tcW w:w="1134" w:type="dxa"/>
            <w:shd w:val="clear" w:color="auto" w:fill="EEECE1" w:themeFill="background2"/>
            <w:tcMar>
              <w:top w:w="15" w:type="dxa"/>
              <w:left w:w="15" w:type="dxa"/>
              <w:bottom w:w="0" w:type="dxa"/>
              <w:right w:w="15" w:type="dxa"/>
            </w:tcMar>
            <w:vAlign w:val="bottom"/>
          </w:tcPr>
          <w:p w14:paraId="10DC6329" w14:textId="4A828FCD" w:rsidR="00834DE2" w:rsidRPr="00DB6172" w:rsidRDefault="00834DE2" w:rsidP="00834DE2">
            <w:pPr>
              <w:keepNext/>
              <w:spacing w:after="0" w:line="240" w:lineRule="auto"/>
              <w:jc w:val="center"/>
              <w:rPr>
                <w:rFonts w:ascii="Verdana" w:hAnsi="Verdana" w:cs="Times New Roman"/>
                <w:sz w:val="18"/>
                <w:szCs w:val="18"/>
                <w:lang w:val="en-GB"/>
              </w:rPr>
            </w:pPr>
            <w:r>
              <w:rPr>
                <w:rFonts w:ascii="Verdana" w:hAnsi="Verdana" w:cs="Times New Roman"/>
                <w:sz w:val="18"/>
                <w:szCs w:val="18"/>
                <w:lang w:val="en-GB"/>
              </w:rPr>
              <w:t>28</w:t>
            </w:r>
            <w:r w:rsidRPr="00DB6172">
              <w:rPr>
                <w:rFonts w:ascii="Verdana" w:hAnsi="Verdana" w:cs="Times New Roman"/>
                <w:sz w:val="18"/>
                <w:szCs w:val="18"/>
                <w:lang w:val="en-GB"/>
              </w:rPr>
              <w:t>%</w:t>
            </w:r>
          </w:p>
        </w:tc>
        <w:tc>
          <w:tcPr>
            <w:tcW w:w="1169" w:type="dxa"/>
            <w:shd w:val="clear" w:color="auto" w:fill="auto"/>
            <w:tcMar>
              <w:top w:w="15" w:type="dxa"/>
              <w:left w:w="15" w:type="dxa"/>
              <w:bottom w:w="0" w:type="dxa"/>
              <w:right w:w="15" w:type="dxa"/>
            </w:tcMar>
            <w:vAlign w:val="bottom"/>
          </w:tcPr>
          <w:p w14:paraId="71D4DD9B" w14:textId="0723FA70"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w:t>
            </w:r>
            <w:r>
              <w:rPr>
                <w:rFonts w:ascii="Verdana" w:hAnsi="Verdana" w:cs="Times New Roman"/>
                <w:sz w:val="18"/>
                <w:szCs w:val="18"/>
                <w:lang w:val="en-GB"/>
              </w:rPr>
              <w:t>7</w:t>
            </w:r>
            <w:r w:rsidRPr="00DB6172">
              <w:rPr>
                <w:rFonts w:ascii="Verdana" w:hAnsi="Verdana" w:cs="Times New Roman"/>
                <w:sz w:val="18"/>
                <w:szCs w:val="18"/>
                <w:lang w:val="en-GB"/>
              </w:rPr>
              <w:t>%</w:t>
            </w:r>
          </w:p>
        </w:tc>
      </w:tr>
      <w:tr w:rsidR="00834DE2" w:rsidRPr="00DB6172" w14:paraId="64B18D07" w14:textId="77777777" w:rsidTr="004F74CF">
        <w:trPr>
          <w:trHeight w:val="174"/>
          <w:jc w:val="center"/>
        </w:trPr>
        <w:tc>
          <w:tcPr>
            <w:tcW w:w="9128" w:type="dxa"/>
            <w:gridSpan w:val="6"/>
            <w:shd w:val="clear" w:color="auto" w:fill="auto"/>
            <w:tcMar>
              <w:top w:w="15" w:type="dxa"/>
              <w:left w:w="15" w:type="dxa"/>
              <w:bottom w:w="0" w:type="dxa"/>
              <w:right w:w="15" w:type="dxa"/>
            </w:tcMar>
            <w:vAlign w:val="bottom"/>
            <w:hideMark/>
          </w:tcPr>
          <w:p w14:paraId="552417CA" w14:textId="08106E68" w:rsidR="00834DE2" w:rsidRPr="00DB6172" w:rsidRDefault="00834DE2" w:rsidP="00834DE2">
            <w:pPr>
              <w:keepNext/>
              <w:spacing w:after="0" w:line="240" w:lineRule="auto"/>
              <w:rPr>
                <w:rFonts w:ascii="Verdana" w:hAnsi="Verdana" w:cs="Times New Roman"/>
                <w:sz w:val="18"/>
                <w:szCs w:val="18"/>
                <w:lang w:val="en-GB"/>
              </w:rPr>
            </w:pPr>
            <w:r w:rsidRPr="00DB6172">
              <w:rPr>
                <w:rFonts w:ascii="Verdana" w:hAnsi="Verdana" w:cs="Times New Roman"/>
                <w:sz w:val="18"/>
                <w:szCs w:val="18"/>
                <w:lang w:val="en-GB"/>
              </w:rPr>
              <w:t>Utilization of UAA, % from total</w:t>
            </w:r>
          </w:p>
        </w:tc>
      </w:tr>
      <w:tr w:rsidR="00834DE2" w:rsidRPr="00DB6172" w14:paraId="371836BA" w14:textId="77777777" w:rsidTr="004F74CF">
        <w:trPr>
          <w:trHeight w:val="178"/>
          <w:jc w:val="center"/>
        </w:trPr>
        <w:tc>
          <w:tcPr>
            <w:tcW w:w="3423" w:type="dxa"/>
            <w:shd w:val="clear" w:color="auto" w:fill="auto"/>
            <w:tcMar>
              <w:top w:w="15" w:type="dxa"/>
              <w:left w:w="15" w:type="dxa"/>
              <w:bottom w:w="0" w:type="dxa"/>
              <w:right w:w="15" w:type="dxa"/>
            </w:tcMar>
            <w:vAlign w:val="bottom"/>
            <w:hideMark/>
          </w:tcPr>
          <w:p w14:paraId="0A7C2DEC" w14:textId="77777777" w:rsidR="00834DE2" w:rsidRPr="00DB6172" w:rsidRDefault="00834DE2"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Meadows and pastures</w:t>
            </w:r>
          </w:p>
        </w:tc>
        <w:tc>
          <w:tcPr>
            <w:tcW w:w="1134" w:type="dxa"/>
            <w:shd w:val="clear" w:color="auto" w:fill="auto"/>
            <w:tcMar>
              <w:top w:w="15" w:type="dxa"/>
              <w:left w:w="15" w:type="dxa"/>
              <w:bottom w:w="0" w:type="dxa"/>
              <w:right w:w="15" w:type="dxa"/>
            </w:tcMar>
            <w:vAlign w:val="bottom"/>
            <w:hideMark/>
          </w:tcPr>
          <w:p w14:paraId="58FA6B2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w:t>
            </w:r>
          </w:p>
        </w:tc>
        <w:tc>
          <w:tcPr>
            <w:tcW w:w="1134" w:type="dxa"/>
            <w:shd w:val="clear" w:color="auto" w:fill="auto"/>
            <w:tcMar>
              <w:top w:w="15" w:type="dxa"/>
              <w:left w:w="15" w:type="dxa"/>
              <w:bottom w:w="0" w:type="dxa"/>
              <w:right w:w="15" w:type="dxa"/>
            </w:tcMar>
            <w:vAlign w:val="bottom"/>
            <w:hideMark/>
          </w:tcPr>
          <w:p w14:paraId="19EEC99C"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hideMark/>
          </w:tcPr>
          <w:p w14:paraId="78B92FD9"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66%</w:t>
            </w:r>
          </w:p>
        </w:tc>
        <w:tc>
          <w:tcPr>
            <w:tcW w:w="1134" w:type="dxa"/>
            <w:shd w:val="clear" w:color="auto" w:fill="EEECE1" w:themeFill="background2"/>
            <w:tcMar>
              <w:top w:w="15" w:type="dxa"/>
              <w:left w:w="15" w:type="dxa"/>
              <w:bottom w:w="0" w:type="dxa"/>
              <w:right w:w="15" w:type="dxa"/>
            </w:tcMar>
            <w:vAlign w:val="bottom"/>
            <w:hideMark/>
          </w:tcPr>
          <w:p w14:paraId="736D914A"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13%</w:t>
            </w:r>
          </w:p>
        </w:tc>
        <w:tc>
          <w:tcPr>
            <w:tcW w:w="1169" w:type="dxa"/>
            <w:shd w:val="clear" w:color="auto" w:fill="auto"/>
            <w:tcMar>
              <w:top w:w="15" w:type="dxa"/>
              <w:left w:w="15" w:type="dxa"/>
              <w:bottom w:w="0" w:type="dxa"/>
              <w:right w:w="15" w:type="dxa"/>
            </w:tcMar>
            <w:vAlign w:val="bottom"/>
            <w:hideMark/>
          </w:tcPr>
          <w:p w14:paraId="4D6BAEA8"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19%</w:t>
            </w:r>
          </w:p>
        </w:tc>
      </w:tr>
      <w:tr w:rsidR="00834DE2" w:rsidRPr="00DB6172" w14:paraId="75309914" w14:textId="77777777" w:rsidTr="004F74CF">
        <w:trPr>
          <w:trHeight w:val="196"/>
          <w:jc w:val="center"/>
        </w:trPr>
        <w:tc>
          <w:tcPr>
            <w:tcW w:w="3423" w:type="dxa"/>
            <w:shd w:val="clear" w:color="auto" w:fill="auto"/>
            <w:tcMar>
              <w:top w:w="15" w:type="dxa"/>
              <w:left w:w="15" w:type="dxa"/>
              <w:bottom w:w="0" w:type="dxa"/>
              <w:right w:w="15" w:type="dxa"/>
            </w:tcMar>
            <w:vAlign w:val="bottom"/>
            <w:hideMark/>
          </w:tcPr>
          <w:p w14:paraId="36F8534A" w14:textId="77777777" w:rsidR="00834DE2" w:rsidRPr="00DB6172" w:rsidRDefault="00834DE2"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Permanent crops</w:t>
            </w:r>
          </w:p>
        </w:tc>
        <w:tc>
          <w:tcPr>
            <w:tcW w:w="1134" w:type="dxa"/>
            <w:shd w:val="clear" w:color="auto" w:fill="auto"/>
            <w:tcMar>
              <w:top w:w="15" w:type="dxa"/>
              <w:left w:w="15" w:type="dxa"/>
              <w:bottom w:w="0" w:type="dxa"/>
              <w:right w:w="15" w:type="dxa"/>
            </w:tcMar>
            <w:vAlign w:val="bottom"/>
            <w:hideMark/>
          </w:tcPr>
          <w:p w14:paraId="6FA00FED"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hideMark/>
          </w:tcPr>
          <w:p w14:paraId="6A8FF354"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34" w:type="dxa"/>
            <w:shd w:val="clear" w:color="auto" w:fill="auto"/>
            <w:tcMar>
              <w:top w:w="15" w:type="dxa"/>
              <w:left w:w="15" w:type="dxa"/>
              <w:bottom w:w="0" w:type="dxa"/>
              <w:right w:w="15" w:type="dxa"/>
            </w:tcMar>
            <w:vAlign w:val="bottom"/>
            <w:hideMark/>
          </w:tcPr>
          <w:p w14:paraId="2F76BD80"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42%</w:t>
            </w:r>
          </w:p>
        </w:tc>
        <w:tc>
          <w:tcPr>
            <w:tcW w:w="1134" w:type="dxa"/>
            <w:shd w:val="clear" w:color="auto" w:fill="EEECE1" w:themeFill="background2"/>
            <w:tcMar>
              <w:top w:w="15" w:type="dxa"/>
              <w:left w:w="15" w:type="dxa"/>
              <w:bottom w:w="0" w:type="dxa"/>
              <w:right w:w="15" w:type="dxa"/>
            </w:tcMar>
            <w:vAlign w:val="bottom"/>
            <w:hideMark/>
          </w:tcPr>
          <w:p w14:paraId="7950A51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13%</w:t>
            </w:r>
          </w:p>
        </w:tc>
        <w:tc>
          <w:tcPr>
            <w:tcW w:w="1169" w:type="dxa"/>
            <w:shd w:val="clear" w:color="auto" w:fill="auto"/>
            <w:tcMar>
              <w:top w:w="15" w:type="dxa"/>
              <w:left w:w="15" w:type="dxa"/>
              <w:bottom w:w="0" w:type="dxa"/>
              <w:right w:w="15" w:type="dxa"/>
            </w:tcMar>
            <w:vAlign w:val="bottom"/>
            <w:hideMark/>
          </w:tcPr>
          <w:p w14:paraId="25DB9D5C"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45%</w:t>
            </w:r>
          </w:p>
        </w:tc>
      </w:tr>
      <w:tr w:rsidR="00834DE2" w:rsidRPr="00DB6172" w14:paraId="3730797B" w14:textId="77777777" w:rsidTr="004F74CF">
        <w:trPr>
          <w:trHeight w:val="214"/>
          <w:jc w:val="center"/>
        </w:trPr>
        <w:tc>
          <w:tcPr>
            <w:tcW w:w="3423" w:type="dxa"/>
            <w:shd w:val="clear" w:color="auto" w:fill="auto"/>
            <w:tcMar>
              <w:top w:w="15" w:type="dxa"/>
              <w:left w:w="15" w:type="dxa"/>
              <w:bottom w:w="0" w:type="dxa"/>
              <w:right w:w="15" w:type="dxa"/>
            </w:tcMar>
            <w:vAlign w:val="bottom"/>
            <w:hideMark/>
          </w:tcPr>
          <w:p w14:paraId="646D791E" w14:textId="77777777" w:rsidR="00834DE2" w:rsidRPr="00DB6172" w:rsidRDefault="00834DE2" w:rsidP="00834DE2">
            <w:pPr>
              <w:keepNext/>
              <w:spacing w:after="0" w:line="240" w:lineRule="auto"/>
              <w:jc w:val="right"/>
              <w:rPr>
                <w:rFonts w:ascii="Verdana" w:hAnsi="Verdana" w:cs="Times New Roman"/>
                <w:sz w:val="18"/>
                <w:szCs w:val="18"/>
                <w:lang w:val="en-GB"/>
              </w:rPr>
            </w:pPr>
            <w:r w:rsidRPr="00DB6172">
              <w:rPr>
                <w:rFonts w:ascii="Verdana" w:hAnsi="Verdana" w:cs="Times New Roman"/>
                <w:sz w:val="18"/>
                <w:szCs w:val="18"/>
                <w:lang w:val="en-GB"/>
              </w:rPr>
              <w:t>Arable land</w:t>
            </w:r>
          </w:p>
        </w:tc>
        <w:tc>
          <w:tcPr>
            <w:tcW w:w="1134" w:type="dxa"/>
            <w:shd w:val="clear" w:color="auto" w:fill="auto"/>
            <w:tcMar>
              <w:top w:w="15" w:type="dxa"/>
              <w:left w:w="15" w:type="dxa"/>
              <w:bottom w:w="0" w:type="dxa"/>
              <w:right w:w="15" w:type="dxa"/>
            </w:tcMar>
            <w:vAlign w:val="bottom"/>
            <w:hideMark/>
          </w:tcPr>
          <w:p w14:paraId="56CC6078"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22%</w:t>
            </w:r>
          </w:p>
        </w:tc>
        <w:tc>
          <w:tcPr>
            <w:tcW w:w="1134" w:type="dxa"/>
            <w:shd w:val="clear" w:color="auto" w:fill="auto"/>
            <w:tcMar>
              <w:top w:w="15" w:type="dxa"/>
              <w:left w:w="15" w:type="dxa"/>
              <w:bottom w:w="0" w:type="dxa"/>
              <w:right w:w="15" w:type="dxa"/>
            </w:tcMar>
            <w:vAlign w:val="bottom"/>
            <w:hideMark/>
          </w:tcPr>
          <w:p w14:paraId="799DBCF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14%</w:t>
            </w:r>
          </w:p>
        </w:tc>
        <w:tc>
          <w:tcPr>
            <w:tcW w:w="1134" w:type="dxa"/>
            <w:shd w:val="clear" w:color="auto" w:fill="auto"/>
            <w:tcMar>
              <w:top w:w="15" w:type="dxa"/>
              <w:left w:w="15" w:type="dxa"/>
              <w:bottom w:w="0" w:type="dxa"/>
              <w:right w:w="15" w:type="dxa"/>
            </w:tcMar>
            <w:vAlign w:val="bottom"/>
            <w:hideMark/>
          </w:tcPr>
          <w:p w14:paraId="336887E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55%</w:t>
            </w:r>
          </w:p>
        </w:tc>
        <w:tc>
          <w:tcPr>
            <w:tcW w:w="1134" w:type="dxa"/>
            <w:shd w:val="clear" w:color="auto" w:fill="EEECE1" w:themeFill="background2"/>
            <w:tcMar>
              <w:top w:w="15" w:type="dxa"/>
              <w:left w:w="15" w:type="dxa"/>
              <w:bottom w:w="0" w:type="dxa"/>
              <w:right w:w="15" w:type="dxa"/>
            </w:tcMar>
            <w:vAlign w:val="bottom"/>
            <w:hideMark/>
          </w:tcPr>
          <w:p w14:paraId="4C33BB0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w:t>
            </w:r>
          </w:p>
        </w:tc>
        <w:tc>
          <w:tcPr>
            <w:tcW w:w="1169" w:type="dxa"/>
            <w:shd w:val="clear" w:color="auto" w:fill="auto"/>
            <w:tcMar>
              <w:top w:w="15" w:type="dxa"/>
              <w:left w:w="15" w:type="dxa"/>
              <w:bottom w:w="0" w:type="dxa"/>
              <w:right w:w="15" w:type="dxa"/>
            </w:tcMar>
            <w:vAlign w:val="bottom"/>
            <w:hideMark/>
          </w:tcPr>
          <w:p w14:paraId="779C031D"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7%</w:t>
            </w:r>
          </w:p>
        </w:tc>
      </w:tr>
      <w:tr w:rsidR="00834DE2" w:rsidRPr="00DB6172" w14:paraId="3E36C734" w14:textId="77777777" w:rsidTr="004F74CF">
        <w:trPr>
          <w:trHeight w:val="108"/>
          <w:jc w:val="center"/>
        </w:trPr>
        <w:tc>
          <w:tcPr>
            <w:tcW w:w="3423" w:type="dxa"/>
            <w:shd w:val="clear" w:color="auto" w:fill="auto"/>
            <w:tcMar>
              <w:top w:w="15" w:type="dxa"/>
              <w:left w:w="15" w:type="dxa"/>
              <w:bottom w:w="0" w:type="dxa"/>
              <w:right w:w="15" w:type="dxa"/>
            </w:tcMar>
            <w:vAlign w:val="bottom"/>
            <w:hideMark/>
          </w:tcPr>
          <w:p w14:paraId="6E5AB84B" w14:textId="77777777" w:rsidR="00834DE2" w:rsidRPr="00DB6172" w:rsidRDefault="00834DE2" w:rsidP="00834DE2">
            <w:pPr>
              <w:keepNext/>
              <w:spacing w:after="0" w:line="240" w:lineRule="auto"/>
              <w:jc w:val="both"/>
              <w:rPr>
                <w:rFonts w:ascii="Verdana" w:hAnsi="Verdana" w:cs="Times New Roman"/>
                <w:sz w:val="18"/>
                <w:szCs w:val="18"/>
                <w:lang w:val="en-GB"/>
              </w:rPr>
            </w:pPr>
            <w:r w:rsidRPr="00DB6172">
              <w:rPr>
                <w:rFonts w:ascii="Verdana" w:hAnsi="Verdana" w:cs="Times New Roman"/>
                <w:sz w:val="18"/>
                <w:szCs w:val="18"/>
                <w:lang w:val="en-GB"/>
              </w:rPr>
              <w:t>Synthetic N fertilizers, % from total</w:t>
            </w:r>
          </w:p>
        </w:tc>
        <w:tc>
          <w:tcPr>
            <w:tcW w:w="1134" w:type="dxa"/>
            <w:shd w:val="clear" w:color="auto" w:fill="auto"/>
            <w:tcMar>
              <w:top w:w="15" w:type="dxa"/>
              <w:left w:w="15" w:type="dxa"/>
              <w:bottom w:w="0" w:type="dxa"/>
              <w:right w:w="15" w:type="dxa"/>
            </w:tcMar>
            <w:vAlign w:val="bottom"/>
            <w:hideMark/>
          </w:tcPr>
          <w:p w14:paraId="295D1A78"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14%</w:t>
            </w:r>
          </w:p>
        </w:tc>
        <w:tc>
          <w:tcPr>
            <w:tcW w:w="1134" w:type="dxa"/>
            <w:shd w:val="clear" w:color="auto" w:fill="auto"/>
            <w:tcMar>
              <w:top w:w="15" w:type="dxa"/>
              <w:left w:w="15" w:type="dxa"/>
              <w:bottom w:w="0" w:type="dxa"/>
              <w:right w:w="15" w:type="dxa"/>
            </w:tcMar>
            <w:vAlign w:val="bottom"/>
            <w:hideMark/>
          </w:tcPr>
          <w:p w14:paraId="73CD45C8"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28%</w:t>
            </w:r>
          </w:p>
        </w:tc>
        <w:tc>
          <w:tcPr>
            <w:tcW w:w="1134" w:type="dxa"/>
            <w:shd w:val="clear" w:color="auto" w:fill="auto"/>
            <w:tcMar>
              <w:top w:w="15" w:type="dxa"/>
              <w:left w:w="15" w:type="dxa"/>
              <w:bottom w:w="0" w:type="dxa"/>
              <w:right w:w="15" w:type="dxa"/>
            </w:tcMar>
            <w:vAlign w:val="bottom"/>
            <w:hideMark/>
          </w:tcPr>
          <w:p w14:paraId="24FB01D8"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54%</w:t>
            </w:r>
          </w:p>
        </w:tc>
        <w:tc>
          <w:tcPr>
            <w:tcW w:w="1134" w:type="dxa"/>
            <w:shd w:val="clear" w:color="auto" w:fill="EEECE1" w:themeFill="background2"/>
            <w:tcMar>
              <w:top w:w="15" w:type="dxa"/>
              <w:left w:w="15" w:type="dxa"/>
              <w:bottom w:w="0" w:type="dxa"/>
              <w:right w:w="15" w:type="dxa"/>
            </w:tcMar>
            <w:vAlign w:val="bottom"/>
            <w:hideMark/>
          </w:tcPr>
          <w:p w14:paraId="4C827C6E"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0%</w:t>
            </w:r>
          </w:p>
        </w:tc>
        <w:tc>
          <w:tcPr>
            <w:tcW w:w="1169" w:type="dxa"/>
            <w:shd w:val="clear" w:color="auto" w:fill="auto"/>
            <w:tcMar>
              <w:top w:w="15" w:type="dxa"/>
              <w:left w:w="15" w:type="dxa"/>
              <w:bottom w:w="0" w:type="dxa"/>
              <w:right w:w="15" w:type="dxa"/>
            </w:tcMar>
            <w:vAlign w:val="bottom"/>
            <w:hideMark/>
          </w:tcPr>
          <w:p w14:paraId="44EC744F" w14:textId="77777777" w:rsidR="00834DE2" w:rsidRPr="00DB6172" w:rsidRDefault="00834DE2" w:rsidP="00834DE2">
            <w:pPr>
              <w:keepNext/>
              <w:spacing w:after="0" w:line="240" w:lineRule="auto"/>
              <w:jc w:val="center"/>
              <w:rPr>
                <w:rFonts w:ascii="Verdana" w:hAnsi="Verdana" w:cs="Times New Roman"/>
                <w:sz w:val="18"/>
                <w:szCs w:val="18"/>
                <w:lang w:val="en-GB"/>
              </w:rPr>
            </w:pPr>
            <w:r w:rsidRPr="00DB6172">
              <w:rPr>
                <w:rFonts w:ascii="Verdana" w:hAnsi="Verdana" w:cs="Times New Roman"/>
                <w:sz w:val="18"/>
                <w:szCs w:val="18"/>
                <w:lang w:val="en-GB"/>
              </w:rPr>
              <w:t>3%</w:t>
            </w:r>
          </w:p>
        </w:tc>
      </w:tr>
    </w:tbl>
    <w:p w14:paraId="5E083D8E" w14:textId="24227ABF" w:rsidR="004F74CF" w:rsidRPr="00DB6172" w:rsidRDefault="00834DE2" w:rsidP="00E91AE5">
      <w:pPr>
        <w:spacing w:before="120" w:line="240" w:lineRule="auto"/>
        <w:jc w:val="both"/>
        <w:rPr>
          <w:rFonts w:ascii="Verdana" w:hAnsi="Verdana"/>
          <w:sz w:val="20"/>
          <w:szCs w:val="20"/>
          <w:lang w:val="en-GB"/>
        </w:rPr>
      </w:pPr>
      <w:r w:rsidRPr="00DB6172">
        <w:rPr>
          <w:rFonts w:ascii="Verdana" w:hAnsi="Verdana"/>
          <w:sz w:val="20"/>
          <w:szCs w:val="20"/>
          <w:lang w:val="en-GB"/>
        </w:rPr>
        <w:t>Research results show very different GHG emission intensity which is significantly higher in intensive farms (Cluster 1 and 2) compared to organic farms (Cluster 4) and small farms (Cluster 5). These differences can be explained by a series of factors which differs among the clusters: type of market strategies, agricultural machinery availability, information about soil quality and properties, availability of financial sources for purchase fertilizers, livestock keeping and feeding practices, etc.</w:t>
      </w:r>
    </w:p>
    <w:p w14:paraId="69452BAB" w14:textId="60D27FE9" w:rsidR="004F74CF" w:rsidRPr="00DB6172" w:rsidRDefault="004F74CF" w:rsidP="004F74CF">
      <w:pPr>
        <w:spacing w:after="120" w:line="240" w:lineRule="auto"/>
        <w:jc w:val="both"/>
        <w:rPr>
          <w:rFonts w:ascii="Verdana" w:hAnsi="Verdana"/>
          <w:sz w:val="20"/>
          <w:szCs w:val="20"/>
          <w:lang w:val="en-GB"/>
        </w:rPr>
      </w:pPr>
      <w:r w:rsidRPr="00DB6172">
        <w:rPr>
          <w:rFonts w:ascii="Verdana" w:hAnsi="Verdana"/>
          <w:sz w:val="20"/>
          <w:szCs w:val="20"/>
          <w:lang w:val="en-GB"/>
        </w:rPr>
        <w:t xml:space="preserve">Table 2. </w:t>
      </w:r>
      <w:r w:rsidR="001C6E62" w:rsidRPr="00DB6172">
        <w:rPr>
          <w:rFonts w:ascii="Verdana" w:hAnsi="Verdana"/>
          <w:b/>
          <w:sz w:val="20"/>
          <w:szCs w:val="20"/>
          <w:lang w:val="en-GB"/>
        </w:rPr>
        <w:t xml:space="preserve">Agricultural GHG emissions and its division by </w:t>
      </w:r>
      <w:r w:rsidR="000E6AB4" w:rsidRPr="00DB6172">
        <w:rPr>
          <w:rFonts w:ascii="Verdana" w:hAnsi="Verdana"/>
          <w:b/>
          <w:sz w:val="20"/>
          <w:szCs w:val="20"/>
          <w:lang w:val="en-GB"/>
        </w:rPr>
        <w:t xml:space="preserve">farm </w:t>
      </w:r>
      <w:r w:rsidR="001C6E62" w:rsidRPr="00DB6172">
        <w:rPr>
          <w:rFonts w:ascii="Verdana" w:hAnsi="Verdana"/>
          <w:b/>
          <w:sz w:val="20"/>
          <w:szCs w:val="20"/>
          <w:lang w:val="en-GB"/>
        </w:rPr>
        <w:t>clusters</w:t>
      </w:r>
      <w:r w:rsidR="000E6AB4" w:rsidRPr="00DB6172">
        <w:rPr>
          <w:rFonts w:ascii="Verdana" w:hAnsi="Verdana"/>
          <w:b/>
          <w:sz w:val="20"/>
          <w:szCs w:val="20"/>
          <w:lang w:val="en-GB"/>
        </w:rPr>
        <w:t xml:space="preserve"> in Latvia</w:t>
      </w:r>
    </w:p>
    <w:tbl>
      <w:tblPr>
        <w:tblStyle w:val="TableGrid"/>
        <w:tblW w:w="9114" w:type="dxa"/>
        <w:jc w:val="center"/>
        <w:tblLook w:val="04A0" w:firstRow="1" w:lastRow="0" w:firstColumn="1" w:lastColumn="0" w:noHBand="0" w:noVBand="1"/>
      </w:tblPr>
      <w:tblGrid>
        <w:gridCol w:w="3338"/>
        <w:gridCol w:w="969"/>
        <w:gridCol w:w="992"/>
        <w:gridCol w:w="973"/>
        <w:gridCol w:w="969"/>
        <w:gridCol w:w="934"/>
        <w:gridCol w:w="939"/>
      </w:tblGrid>
      <w:tr w:rsidR="001C6E62" w:rsidRPr="00DB6172" w14:paraId="060EA310" w14:textId="77777777" w:rsidTr="001C6E62">
        <w:trPr>
          <w:trHeight w:val="315"/>
          <w:jc w:val="center"/>
        </w:trPr>
        <w:tc>
          <w:tcPr>
            <w:tcW w:w="3338" w:type="dxa"/>
            <w:noWrap/>
            <w:vAlign w:val="center"/>
            <w:hideMark/>
          </w:tcPr>
          <w:p w14:paraId="107993BE" w14:textId="15159AC8" w:rsidR="004F74CF" w:rsidRPr="00DB6172" w:rsidRDefault="00E11AF9" w:rsidP="00E11AF9">
            <w:pPr>
              <w:jc w:val="center"/>
              <w:rPr>
                <w:rFonts w:ascii="Verdana" w:eastAsia="Times New Roman" w:hAnsi="Verdana" w:cs="Times New Roman"/>
                <w:b/>
                <w:color w:val="000000"/>
                <w:sz w:val="18"/>
                <w:szCs w:val="18"/>
                <w:lang w:eastAsia="lv-LV"/>
              </w:rPr>
            </w:pPr>
            <w:r w:rsidRPr="00DB6172">
              <w:rPr>
                <w:rFonts w:ascii="Verdana" w:eastAsia="Times New Roman" w:hAnsi="Verdana" w:cs="Times New Roman"/>
                <w:b/>
                <w:color w:val="000000"/>
                <w:sz w:val="18"/>
                <w:szCs w:val="18"/>
                <w:lang w:eastAsia="lv-LV"/>
              </w:rPr>
              <w:t>Indicator</w:t>
            </w:r>
          </w:p>
        </w:tc>
        <w:tc>
          <w:tcPr>
            <w:tcW w:w="969" w:type="dxa"/>
            <w:noWrap/>
            <w:vAlign w:val="center"/>
            <w:hideMark/>
          </w:tcPr>
          <w:p w14:paraId="23259812" w14:textId="77777777"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eastAsia="Times New Roman" w:hAnsi="Verdana" w:cs="Times New Roman"/>
                <w:b/>
                <w:color w:val="000000"/>
                <w:sz w:val="18"/>
                <w:szCs w:val="18"/>
                <w:lang w:eastAsia="lv-LV"/>
              </w:rPr>
              <w:t>2013</w:t>
            </w:r>
          </w:p>
        </w:tc>
        <w:tc>
          <w:tcPr>
            <w:tcW w:w="992" w:type="dxa"/>
            <w:noWrap/>
            <w:vAlign w:val="center"/>
            <w:hideMark/>
          </w:tcPr>
          <w:p w14:paraId="7447BF48" w14:textId="0F610A73"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hAnsi="Verdana" w:cs="Times New Roman"/>
                <w:b/>
                <w:bCs/>
                <w:sz w:val="18"/>
                <w:szCs w:val="18"/>
              </w:rPr>
              <w:t>Cluster 1</w:t>
            </w:r>
          </w:p>
        </w:tc>
        <w:tc>
          <w:tcPr>
            <w:tcW w:w="973" w:type="dxa"/>
            <w:noWrap/>
            <w:vAlign w:val="center"/>
            <w:hideMark/>
          </w:tcPr>
          <w:p w14:paraId="7F8217B3" w14:textId="144B190E"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hAnsi="Verdana" w:cs="Times New Roman"/>
                <w:b/>
                <w:bCs/>
                <w:sz w:val="18"/>
                <w:szCs w:val="18"/>
              </w:rPr>
              <w:t>Cluster 2</w:t>
            </w:r>
          </w:p>
        </w:tc>
        <w:tc>
          <w:tcPr>
            <w:tcW w:w="969" w:type="dxa"/>
            <w:noWrap/>
            <w:vAlign w:val="center"/>
            <w:hideMark/>
          </w:tcPr>
          <w:p w14:paraId="3CD43978" w14:textId="2AF3AEF1"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hAnsi="Verdana" w:cs="Times New Roman"/>
                <w:b/>
                <w:bCs/>
                <w:sz w:val="18"/>
                <w:szCs w:val="18"/>
              </w:rPr>
              <w:t>Cluster 3</w:t>
            </w:r>
          </w:p>
        </w:tc>
        <w:tc>
          <w:tcPr>
            <w:tcW w:w="934" w:type="dxa"/>
            <w:shd w:val="clear" w:color="auto" w:fill="EEECE1" w:themeFill="background2"/>
            <w:noWrap/>
            <w:vAlign w:val="center"/>
            <w:hideMark/>
          </w:tcPr>
          <w:p w14:paraId="34AD8BC8" w14:textId="2F8AB2D8"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hAnsi="Verdana" w:cs="Times New Roman"/>
                <w:b/>
                <w:bCs/>
                <w:sz w:val="18"/>
                <w:szCs w:val="18"/>
              </w:rPr>
              <w:t>Cluster 4</w:t>
            </w:r>
          </w:p>
        </w:tc>
        <w:tc>
          <w:tcPr>
            <w:tcW w:w="939" w:type="dxa"/>
            <w:noWrap/>
            <w:vAlign w:val="center"/>
            <w:hideMark/>
          </w:tcPr>
          <w:p w14:paraId="00D853AC" w14:textId="34B909D1" w:rsidR="004F74CF" w:rsidRPr="00DB6172" w:rsidRDefault="004F74CF" w:rsidP="00E11AF9">
            <w:pPr>
              <w:jc w:val="center"/>
              <w:rPr>
                <w:rFonts w:ascii="Verdana" w:eastAsia="Times New Roman" w:hAnsi="Verdana" w:cs="Times New Roman"/>
                <w:b/>
                <w:color w:val="000000"/>
                <w:sz w:val="18"/>
                <w:szCs w:val="18"/>
                <w:lang w:eastAsia="lv-LV"/>
              </w:rPr>
            </w:pPr>
            <w:r w:rsidRPr="00DB6172">
              <w:rPr>
                <w:rFonts w:ascii="Verdana" w:hAnsi="Verdana" w:cs="Times New Roman"/>
                <w:b/>
                <w:bCs/>
                <w:sz w:val="18"/>
                <w:szCs w:val="18"/>
              </w:rPr>
              <w:t>Cluster 5</w:t>
            </w:r>
          </w:p>
        </w:tc>
      </w:tr>
      <w:tr w:rsidR="001C6E62" w:rsidRPr="00DB6172" w14:paraId="15C1488D" w14:textId="77777777" w:rsidTr="001C6E62">
        <w:trPr>
          <w:trHeight w:val="315"/>
          <w:jc w:val="center"/>
        </w:trPr>
        <w:tc>
          <w:tcPr>
            <w:tcW w:w="3338" w:type="dxa"/>
            <w:noWrap/>
            <w:hideMark/>
          </w:tcPr>
          <w:p w14:paraId="7A924B6A" w14:textId="001BE37C" w:rsidR="004F74CF" w:rsidRPr="00DB6172" w:rsidRDefault="004F74CF" w:rsidP="00E11AF9">
            <w:pP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Total agricultural GHG emissions, kt CO</w:t>
            </w:r>
            <w:r w:rsidRPr="00DB6172">
              <w:rPr>
                <w:rFonts w:ascii="Verdana" w:eastAsia="Times New Roman" w:hAnsi="Verdana" w:cs="Times New Roman"/>
                <w:color w:val="000000"/>
                <w:sz w:val="18"/>
                <w:szCs w:val="18"/>
                <w:vertAlign w:val="subscript"/>
                <w:lang w:eastAsia="lv-LV"/>
              </w:rPr>
              <w:t>2 eq</w:t>
            </w:r>
          </w:p>
        </w:tc>
        <w:tc>
          <w:tcPr>
            <w:tcW w:w="969" w:type="dxa"/>
            <w:noWrap/>
            <w:vAlign w:val="center"/>
            <w:hideMark/>
          </w:tcPr>
          <w:p w14:paraId="59642C76"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2570.33</w:t>
            </w:r>
          </w:p>
        </w:tc>
        <w:tc>
          <w:tcPr>
            <w:tcW w:w="992" w:type="dxa"/>
            <w:noWrap/>
            <w:vAlign w:val="center"/>
            <w:hideMark/>
          </w:tcPr>
          <w:p w14:paraId="730A9231"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877.71</w:t>
            </w:r>
          </w:p>
        </w:tc>
        <w:tc>
          <w:tcPr>
            <w:tcW w:w="973" w:type="dxa"/>
            <w:noWrap/>
            <w:vAlign w:val="center"/>
            <w:hideMark/>
          </w:tcPr>
          <w:p w14:paraId="77974E25"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307.62</w:t>
            </w:r>
          </w:p>
        </w:tc>
        <w:tc>
          <w:tcPr>
            <w:tcW w:w="969" w:type="dxa"/>
            <w:noWrap/>
            <w:vAlign w:val="center"/>
            <w:hideMark/>
          </w:tcPr>
          <w:p w14:paraId="029DD450"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1048.10</w:t>
            </w:r>
          </w:p>
        </w:tc>
        <w:tc>
          <w:tcPr>
            <w:tcW w:w="934" w:type="dxa"/>
            <w:shd w:val="clear" w:color="auto" w:fill="EEECE1" w:themeFill="background2"/>
            <w:noWrap/>
            <w:vAlign w:val="center"/>
            <w:hideMark/>
          </w:tcPr>
          <w:p w14:paraId="7BE69FB4"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184.54</w:t>
            </w:r>
          </w:p>
        </w:tc>
        <w:tc>
          <w:tcPr>
            <w:tcW w:w="939" w:type="dxa"/>
            <w:noWrap/>
            <w:vAlign w:val="center"/>
            <w:hideMark/>
          </w:tcPr>
          <w:p w14:paraId="5989C7C2"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152.35</w:t>
            </w:r>
          </w:p>
        </w:tc>
      </w:tr>
      <w:tr w:rsidR="001C6E62" w:rsidRPr="00DB6172" w14:paraId="10DA5BDF" w14:textId="77777777" w:rsidTr="001C6E62">
        <w:trPr>
          <w:trHeight w:val="315"/>
          <w:jc w:val="center"/>
        </w:trPr>
        <w:tc>
          <w:tcPr>
            <w:tcW w:w="3338" w:type="dxa"/>
            <w:noWrap/>
            <w:hideMark/>
          </w:tcPr>
          <w:p w14:paraId="3309125B" w14:textId="419AC1C6" w:rsidR="004F74CF" w:rsidRPr="00DB6172" w:rsidRDefault="004F74CF" w:rsidP="00E11AF9">
            <w:pP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Average GHG emissions per farm, t CO</w:t>
            </w:r>
            <w:r w:rsidRPr="00DB6172">
              <w:rPr>
                <w:rFonts w:ascii="Verdana" w:eastAsia="Times New Roman" w:hAnsi="Verdana" w:cs="Times New Roman"/>
                <w:color w:val="000000"/>
                <w:sz w:val="18"/>
                <w:szCs w:val="18"/>
                <w:vertAlign w:val="subscript"/>
                <w:lang w:eastAsia="lv-LV"/>
              </w:rPr>
              <w:t>2 eq</w:t>
            </w:r>
            <w:r w:rsidRPr="00DB6172">
              <w:rPr>
                <w:rFonts w:ascii="Verdana" w:eastAsia="Times New Roman" w:hAnsi="Verdana" w:cs="Times New Roman"/>
                <w:color w:val="000000"/>
                <w:sz w:val="18"/>
                <w:szCs w:val="18"/>
                <w:lang w:eastAsia="lv-LV"/>
              </w:rPr>
              <w:t xml:space="preserve"> </w:t>
            </w:r>
            <w:r w:rsidR="00E11AF9" w:rsidRPr="00DB6172">
              <w:rPr>
                <w:rFonts w:ascii="Verdana" w:eastAsia="Times New Roman" w:hAnsi="Verdana" w:cs="Times New Roman"/>
                <w:color w:val="000000"/>
                <w:sz w:val="18"/>
                <w:szCs w:val="18"/>
                <w:lang w:eastAsia="lv-LV"/>
              </w:rPr>
              <w:t>per farm</w:t>
            </w:r>
          </w:p>
        </w:tc>
        <w:tc>
          <w:tcPr>
            <w:tcW w:w="969" w:type="dxa"/>
            <w:noWrap/>
            <w:vAlign w:val="center"/>
            <w:hideMark/>
          </w:tcPr>
          <w:p w14:paraId="7E11EB52"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31.42</w:t>
            </w:r>
          </w:p>
        </w:tc>
        <w:tc>
          <w:tcPr>
            <w:tcW w:w="992" w:type="dxa"/>
            <w:noWrap/>
            <w:vAlign w:val="center"/>
            <w:hideMark/>
          </w:tcPr>
          <w:p w14:paraId="107DA6D2"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3068.92</w:t>
            </w:r>
          </w:p>
        </w:tc>
        <w:tc>
          <w:tcPr>
            <w:tcW w:w="973" w:type="dxa"/>
            <w:noWrap/>
            <w:vAlign w:val="center"/>
            <w:hideMark/>
          </w:tcPr>
          <w:p w14:paraId="3F758DB2"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2796.58</w:t>
            </w:r>
          </w:p>
        </w:tc>
        <w:tc>
          <w:tcPr>
            <w:tcW w:w="969" w:type="dxa"/>
            <w:noWrap/>
            <w:vAlign w:val="center"/>
            <w:hideMark/>
          </w:tcPr>
          <w:p w14:paraId="1BC9C37A"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50.40</w:t>
            </w:r>
          </w:p>
        </w:tc>
        <w:tc>
          <w:tcPr>
            <w:tcW w:w="934" w:type="dxa"/>
            <w:shd w:val="clear" w:color="auto" w:fill="EEECE1" w:themeFill="background2"/>
            <w:noWrap/>
            <w:vAlign w:val="center"/>
            <w:hideMark/>
          </w:tcPr>
          <w:p w14:paraId="265CE2AF"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53.14</w:t>
            </w:r>
          </w:p>
        </w:tc>
        <w:tc>
          <w:tcPr>
            <w:tcW w:w="939" w:type="dxa"/>
            <w:noWrap/>
            <w:vAlign w:val="center"/>
            <w:hideMark/>
          </w:tcPr>
          <w:p w14:paraId="5471125D"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2.67</w:t>
            </w:r>
          </w:p>
        </w:tc>
      </w:tr>
      <w:tr w:rsidR="001C6E62" w:rsidRPr="00DB6172" w14:paraId="287319D0" w14:textId="77777777" w:rsidTr="001C6E62">
        <w:trPr>
          <w:trHeight w:val="315"/>
          <w:jc w:val="center"/>
        </w:trPr>
        <w:tc>
          <w:tcPr>
            <w:tcW w:w="3338" w:type="dxa"/>
            <w:noWrap/>
            <w:hideMark/>
          </w:tcPr>
          <w:p w14:paraId="24032493" w14:textId="524AA7D6" w:rsidR="004F74CF" w:rsidRPr="00DB6172" w:rsidRDefault="00E11AF9" w:rsidP="00E11AF9">
            <w:pP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Average GHG emissions per UAA, t CO</w:t>
            </w:r>
            <w:r w:rsidRPr="00DB6172">
              <w:rPr>
                <w:rFonts w:ascii="Verdana" w:eastAsia="Times New Roman" w:hAnsi="Verdana" w:cs="Times New Roman"/>
                <w:color w:val="000000"/>
                <w:sz w:val="18"/>
                <w:szCs w:val="18"/>
                <w:vertAlign w:val="subscript"/>
                <w:lang w:eastAsia="lv-LV"/>
              </w:rPr>
              <w:t>2 eq</w:t>
            </w:r>
            <w:r w:rsidRPr="00DB6172">
              <w:rPr>
                <w:rFonts w:ascii="Verdana" w:eastAsia="Times New Roman" w:hAnsi="Verdana" w:cs="Times New Roman"/>
                <w:color w:val="000000"/>
                <w:sz w:val="18"/>
                <w:szCs w:val="18"/>
                <w:lang w:eastAsia="lv-LV"/>
              </w:rPr>
              <w:t xml:space="preserve"> per ha</w:t>
            </w:r>
          </w:p>
        </w:tc>
        <w:tc>
          <w:tcPr>
            <w:tcW w:w="969" w:type="dxa"/>
            <w:noWrap/>
            <w:vAlign w:val="center"/>
            <w:hideMark/>
          </w:tcPr>
          <w:p w14:paraId="279ED579"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1.37</w:t>
            </w:r>
          </w:p>
        </w:tc>
        <w:tc>
          <w:tcPr>
            <w:tcW w:w="992" w:type="dxa"/>
            <w:noWrap/>
            <w:vAlign w:val="center"/>
            <w:hideMark/>
          </w:tcPr>
          <w:p w14:paraId="13705408"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3.09</w:t>
            </w:r>
          </w:p>
        </w:tc>
        <w:tc>
          <w:tcPr>
            <w:tcW w:w="973" w:type="dxa"/>
            <w:noWrap/>
            <w:vAlign w:val="center"/>
            <w:hideMark/>
          </w:tcPr>
          <w:p w14:paraId="57547EE9"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1.80</w:t>
            </w:r>
          </w:p>
        </w:tc>
        <w:tc>
          <w:tcPr>
            <w:tcW w:w="969" w:type="dxa"/>
            <w:noWrap/>
            <w:vAlign w:val="center"/>
            <w:hideMark/>
          </w:tcPr>
          <w:p w14:paraId="5F959FD6"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1.21</w:t>
            </w:r>
          </w:p>
        </w:tc>
        <w:tc>
          <w:tcPr>
            <w:tcW w:w="934" w:type="dxa"/>
            <w:shd w:val="clear" w:color="auto" w:fill="EEECE1" w:themeFill="background2"/>
            <w:noWrap/>
            <w:vAlign w:val="center"/>
            <w:hideMark/>
          </w:tcPr>
          <w:p w14:paraId="0A21C3DD"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0.99</w:t>
            </w:r>
          </w:p>
        </w:tc>
        <w:tc>
          <w:tcPr>
            <w:tcW w:w="939" w:type="dxa"/>
            <w:noWrap/>
            <w:vAlign w:val="center"/>
            <w:hideMark/>
          </w:tcPr>
          <w:p w14:paraId="4C63B712" w14:textId="77777777" w:rsidR="004F74CF" w:rsidRPr="00DB6172" w:rsidRDefault="004F74CF" w:rsidP="00E11AF9">
            <w:pPr>
              <w:jc w:val="center"/>
              <w:rPr>
                <w:rFonts w:ascii="Verdana" w:eastAsia="Times New Roman" w:hAnsi="Verdana" w:cs="Times New Roman"/>
                <w:color w:val="000000"/>
                <w:sz w:val="18"/>
                <w:szCs w:val="18"/>
                <w:lang w:eastAsia="lv-LV"/>
              </w:rPr>
            </w:pPr>
            <w:r w:rsidRPr="00DB6172">
              <w:rPr>
                <w:rFonts w:ascii="Verdana" w:eastAsia="Times New Roman" w:hAnsi="Verdana" w:cs="Times New Roman"/>
                <w:color w:val="000000"/>
                <w:sz w:val="18"/>
                <w:szCs w:val="18"/>
                <w:lang w:eastAsia="lv-LV"/>
              </w:rPr>
              <w:t>0.41</w:t>
            </w:r>
          </w:p>
        </w:tc>
      </w:tr>
    </w:tbl>
    <w:p w14:paraId="1B275C94" w14:textId="61FFD2DF" w:rsidR="00D103E7" w:rsidRPr="00DB6172" w:rsidRDefault="000E6AB4" w:rsidP="00E91AE5">
      <w:pPr>
        <w:spacing w:before="120" w:after="0" w:line="240" w:lineRule="auto"/>
        <w:jc w:val="both"/>
        <w:rPr>
          <w:rFonts w:ascii="Verdana" w:hAnsi="Verdana" w:cs="Times New Roman"/>
          <w:sz w:val="20"/>
          <w:szCs w:val="20"/>
          <w:lang w:val="en-GB"/>
        </w:rPr>
      </w:pPr>
      <w:r w:rsidRPr="00DB6172">
        <w:rPr>
          <w:rFonts w:ascii="Verdana" w:hAnsi="Verdana"/>
          <w:sz w:val="20"/>
          <w:szCs w:val="20"/>
          <w:lang w:val="en-GB"/>
        </w:rPr>
        <w:t xml:space="preserve">Research results also indicates that </w:t>
      </w:r>
      <w:r w:rsidR="001D49BF" w:rsidRPr="00DB6172">
        <w:rPr>
          <w:rFonts w:ascii="Verdana" w:hAnsi="Verdana"/>
          <w:sz w:val="20"/>
          <w:szCs w:val="20"/>
          <w:lang w:val="en-GB"/>
        </w:rPr>
        <w:t>organic farms comprises 7% from total agricultural GHG emissions and comprises relatively small GHG emissions per utilized agricultural area (UAA) – 0.99 t</w:t>
      </w:r>
      <w:r w:rsidR="001D49BF" w:rsidRPr="00DB6172">
        <w:rPr>
          <w:rFonts w:ascii="Verdana" w:eastAsia="Times New Roman" w:hAnsi="Verdana" w:cs="Times New Roman"/>
          <w:color w:val="000000"/>
          <w:sz w:val="18"/>
          <w:szCs w:val="18"/>
          <w:lang w:val="en-GB" w:eastAsia="lv-LV"/>
        </w:rPr>
        <w:t xml:space="preserve"> CO</w:t>
      </w:r>
      <w:r w:rsidR="001D49BF" w:rsidRPr="00DB6172">
        <w:rPr>
          <w:rFonts w:ascii="Verdana" w:eastAsia="Times New Roman" w:hAnsi="Verdana" w:cs="Times New Roman"/>
          <w:color w:val="000000"/>
          <w:sz w:val="18"/>
          <w:szCs w:val="18"/>
          <w:vertAlign w:val="subscript"/>
          <w:lang w:val="en-GB" w:eastAsia="lv-LV"/>
        </w:rPr>
        <w:t>2 eq</w:t>
      </w:r>
      <w:r w:rsidR="001D49BF" w:rsidRPr="00DB6172">
        <w:rPr>
          <w:rFonts w:ascii="Verdana" w:eastAsia="Times New Roman" w:hAnsi="Verdana" w:cs="Times New Roman"/>
          <w:color w:val="000000"/>
          <w:sz w:val="18"/>
          <w:szCs w:val="18"/>
          <w:lang w:val="en-GB" w:eastAsia="lv-LV"/>
        </w:rPr>
        <w:t xml:space="preserve"> per ha, which means that further development and increase in organic areas can be used as one of the GHG emission reduction tools. </w:t>
      </w:r>
      <w:r w:rsidR="00D83DF1" w:rsidRPr="00DB6172">
        <w:rPr>
          <w:rFonts w:ascii="Verdana" w:hAnsi="Verdana" w:cs="Times New Roman"/>
          <w:sz w:val="20"/>
          <w:szCs w:val="20"/>
          <w:lang w:val="en-GB"/>
        </w:rPr>
        <w:t xml:space="preserve">Similar findings </w:t>
      </w:r>
      <w:r w:rsidR="00520B82" w:rsidRPr="00DB6172">
        <w:rPr>
          <w:rFonts w:ascii="Verdana" w:hAnsi="Verdana" w:cs="Times New Roman"/>
          <w:sz w:val="20"/>
          <w:szCs w:val="20"/>
          <w:lang w:val="en-GB"/>
        </w:rPr>
        <w:t xml:space="preserve">regarding role of organic farms in GHG emission reduction </w:t>
      </w:r>
      <w:r w:rsidR="00D83DF1" w:rsidRPr="00DB6172">
        <w:rPr>
          <w:rFonts w:ascii="Verdana" w:hAnsi="Verdana" w:cs="Times New Roman"/>
          <w:sz w:val="20"/>
          <w:szCs w:val="20"/>
          <w:lang w:val="en-GB"/>
        </w:rPr>
        <w:t>can be found in other studies (Bos et al., 2007; Cooper et al. 2011</w:t>
      </w:r>
      <w:r w:rsidR="000A5B62" w:rsidRPr="00DB6172">
        <w:rPr>
          <w:rFonts w:ascii="Verdana" w:hAnsi="Verdana" w:cs="Times New Roman"/>
          <w:sz w:val="20"/>
          <w:szCs w:val="20"/>
          <w:lang w:val="en-GB"/>
        </w:rPr>
        <w:t>)</w:t>
      </w:r>
      <w:r w:rsidR="00F55F2E" w:rsidRPr="00DB6172">
        <w:rPr>
          <w:rFonts w:ascii="Verdana" w:hAnsi="Verdana" w:cs="Times New Roman"/>
          <w:sz w:val="20"/>
          <w:szCs w:val="20"/>
          <w:lang w:val="en-GB"/>
        </w:rPr>
        <w:t>.</w:t>
      </w:r>
      <w:r w:rsidR="00B14416" w:rsidRPr="00DB6172">
        <w:rPr>
          <w:rFonts w:ascii="Verdana" w:hAnsi="Verdana" w:cs="Times New Roman"/>
          <w:sz w:val="20"/>
          <w:szCs w:val="20"/>
          <w:lang w:val="en-GB"/>
        </w:rPr>
        <w:t xml:space="preserve"> Results of this research will serve as background for </w:t>
      </w:r>
      <w:r w:rsidR="00974C69" w:rsidRPr="00DB6172">
        <w:rPr>
          <w:rFonts w:ascii="Verdana" w:hAnsi="Verdana" w:cs="Times New Roman"/>
          <w:sz w:val="20"/>
          <w:szCs w:val="20"/>
          <w:lang w:val="en-GB"/>
        </w:rPr>
        <w:t>broader research which aims to identify GHG emission reduction possibilities in Latvia.</w:t>
      </w:r>
      <w:bookmarkStart w:id="0" w:name="_GoBack"/>
      <w:bookmarkEnd w:id="0"/>
      <w:r w:rsidR="008E6CB3" w:rsidRPr="00DB6172">
        <w:rPr>
          <w:rFonts w:ascii="Verdana" w:hAnsi="Verdana" w:cs="Times New Roman"/>
          <w:sz w:val="20"/>
          <w:szCs w:val="20"/>
          <w:lang w:val="en-GB"/>
        </w:rPr>
        <w:t xml:space="preserve"> </w:t>
      </w:r>
    </w:p>
    <w:p w14:paraId="50175615" w14:textId="7F4D1CF8" w:rsidR="00110DEF" w:rsidRPr="00DB6172" w:rsidRDefault="00110DEF" w:rsidP="00E91AE5">
      <w:pPr>
        <w:spacing w:before="120" w:after="0" w:line="240" w:lineRule="auto"/>
        <w:jc w:val="both"/>
        <w:rPr>
          <w:rFonts w:ascii="Verdana" w:hAnsi="Verdana" w:cs="Times New Roman"/>
          <w:bCs/>
          <w:sz w:val="18"/>
          <w:szCs w:val="18"/>
          <w:lang w:val="en-GB"/>
        </w:rPr>
      </w:pPr>
      <w:r w:rsidRPr="00DB6172">
        <w:rPr>
          <w:rFonts w:ascii="Verdana" w:hAnsi="Verdana" w:cs="Times New Roman"/>
          <w:sz w:val="18"/>
          <w:szCs w:val="18"/>
          <w:lang w:val="en-GB"/>
        </w:rPr>
        <w:t xml:space="preserve">ACKNOWLEDGEMENTS This research was </w:t>
      </w:r>
      <w:r w:rsidR="00B14416" w:rsidRPr="00DB6172">
        <w:rPr>
          <w:rFonts w:ascii="Verdana" w:hAnsi="Verdana" w:cs="Times New Roman"/>
          <w:sz w:val="18"/>
          <w:szCs w:val="18"/>
          <w:lang w:val="en-GB"/>
        </w:rPr>
        <w:t>supported by</w:t>
      </w:r>
      <w:r w:rsidRPr="00DB6172">
        <w:rPr>
          <w:rFonts w:ascii="Verdana" w:hAnsi="Verdana" w:cs="Times New Roman"/>
          <w:sz w:val="18"/>
          <w:szCs w:val="18"/>
          <w:lang w:val="en-GB"/>
        </w:rPr>
        <w:t xml:space="preserve"> National Research Programme 2014 – 2017 project ‘Value of the Latvia’s ecosystem and climate dynamic impact on those – EVIDEnT’ sub-project 3.2. ‘</w:t>
      </w:r>
      <w:r w:rsidRPr="00DB6172">
        <w:rPr>
          <w:rFonts w:ascii="Verdana" w:hAnsi="Verdana" w:cs="Times New Roman"/>
          <w:bCs/>
          <w:sz w:val="18"/>
          <w:szCs w:val="18"/>
          <w:lang w:val="en-GB"/>
        </w:rPr>
        <w:t>Analysis of GHG emissions from agricultural sector and economic assessment of GHG emissions mitigation measures’.</w:t>
      </w:r>
    </w:p>
    <w:p w14:paraId="2A4E45F0" w14:textId="77777777" w:rsidR="00110DEF" w:rsidRPr="00DB6172" w:rsidRDefault="00110DEF" w:rsidP="00110DEF">
      <w:pPr>
        <w:spacing w:after="0" w:line="240" w:lineRule="auto"/>
        <w:jc w:val="both"/>
        <w:rPr>
          <w:rFonts w:ascii="Verdana" w:hAnsi="Verdana" w:cs="Times New Roman"/>
          <w:sz w:val="20"/>
          <w:szCs w:val="20"/>
          <w:lang w:val="en-GB"/>
        </w:rPr>
      </w:pPr>
    </w:p>
    <w:p w14:paraId="17DDC7A8" w14:textId="77777777" w:rsidR="00110DEF" w:rsidRPr="00DB6172" w:rsidRDefault="00110DEF" w:rsidP="00834DE2">
      <w:pPr>
        <w:spacing w:after="120" w:line="240" w:lineRule="auto"/>
        <w:jc w:val="both"/>
        <w:rPr>
          <w:rFonts w:ascii="Verdana" w:hAnsi="Verdana" w:cs="Times New Roman"/>
          <w:b/>
          <w:sz w:val="18"/>
          <w:szCs w:val="18"/>
          <w:shd w:val="clear" w:color="auto" w:fill="FFFFFF"/>
          <w:lang w:val="en-GB"/>
        </w:rPr>
      </w:pPr>
      <w:r w:rsidRPr="00DB6172">
        <w:rPr>
          <w:rFonts w:ascii="Verdana" w:hAnsi="Verdana"/>
          <w:b/>
          <w:sz w:val="18"/>
          <w:szCs w:val="18"/>
          <w:lang w:val="en-GB"/>
        </w:rPr>
        <w:t>References</w:t>
      </w:r>
    </w:p>
    <w:p w14:paraId="324125BD" w14:textId="77777777" w:rsidR="00110DEF" w:rsidRPr="00CA31FC" w:rsidRDefault="00110DEF" w:rsidP="00CA31FC">
      <w:pPr>
        <w:spacing w:after="120" w:line="240" w:lineRule="auto"/>
        <w:jc w:val="both"/>
        <w:rPr>
          <w:rFonts w:ascii="Verdana" w:hAnsi="Verdana"/>
          <w:sz w:val="18"/>
          <w:szCs w:val="20"/>
          <w:lang w:val="en-GB"/>
        </w:rPr>
      </w:pPr>
      <w:r w:rsidRPr="00CA31FC">
        <w:rPr>
          <w:rFonts w:ascii="Verdana" w:hAnsi="Verdana"/>
          <w:sz w:val="18"/>
          <w:szCs w:val="20"/>
          <w:lang w:val="en-GB"/>
        </w:rPr>
        <w:t xml:space="preserve">Bos J, Haan J, Sukkel W &amp; Schils R 2007. Comparing energy use and greenhouse gas emissions in organic and conventional farming systems in the Netherlands. Paper presented at the </w:t>
      </w:r>
      <w:r w:rsidRPr="00CA31FC">
        <w:rPr>
          <w:rFonts w:ascii="Verdana" w:hAnsi="Verdana"/>
          <w:i/>
          <w:iCs/>
          <w:sz w:val="18"/>
          <w:szCs w:val="20"/>
          <w:lang w:val="en-GB"/>
        </w:rPr>
        <w:t>3rd QLIF Congress: Improving Sustainability in Organic and Low Input Food Production Systems</w:t>
      </w:r>
      <w:r w:rsidRPr="00CA31FC">
        <w:rPr>
          <w:rFonts w:ascii="Verdana" w:hAnsi="Verdana"/>
          <w:sz w:val="18"/>
          <w:szCs w:val="20"/>
          <w:lang w:val="en-GB"/>
        </w:rPr>
        <w:t>. From: http://orgprints.org/9961/1/Bos-etal-2007-EnergyGreenhouse.pdf</w:t>
      </w:r>
    </w:p>
    <w:p w14:paraId="085195DC" w14:textId="2C76AD90" w:rsidR="00110DEF" w:rsidRDefault="001918D0" w:rsidP="00CA31FC">
      <w:pPr>
        <w:shd w:val="clear" w:color="auto" w:fill="FFFFFF"/>
        <w:spacing w:after="120" w:line="240" w:lineRule="auto"/>
        <w:jc w:val="both"/>
        <w:textAlignment w:val="baseline"/>
        <w:outlineLvl w:val="0"/>
        <w:rPr>
          <w:rFonts w:ascii="Verdana" w:hAnsi="Verdana"/>
          <w:sz w:val="18"/>
          <w:szCs w:val="20"/>
          <w:lang w:val="en-GB"/>
        </w:rPr>
      </w:pPr>
      <w:hyperlink r:id="rId9" w:history="1">
        <w:r w:rsidR="00110DEF" w:rsidRPr="00CA31FC">
          <w:rPr>
            <w:rFonts w:ascii="Verdana" w:hAnsi="Verdana"/>
            <w:sz w:val="18"/>
            <w:szCs w:val="20"/>
            <w:bdr w:val="none" w:sz="0" w:space="0" w:color="auto" w:frame="1"/>
            <w:lang w:val="en-GB" w:eastAsia="en-GB"/>
          </w:rPr>
          <w:t>Cooper</w:t>
        </w:r>
      </w:hyperlink>
      <w:r w:rsidR="00110DEF" w:rsidRPr="00CA31FC">
        <w:rPr>
          <w:rFonts w:ascii="Verdana" w:hAnsi="Verdana"/>
          <w:sz w:val="18"/>
          <w:szCs w:val="20"/>
          <w:bdr w:val="none" w:sz="0" w:space="0" w:color="auto" w:frame="1"/>
          <w:lang w:val="en-GB" w:eastAsia="en-GB"/>
        </w:rPr>
        <w:t xml:space="preserve"> JM</w:t>
      </w:r>
      <w:r w:rsidR="00110DEF" w:rsidRPr="00CA31FC">
        <w:rPr>
          <w:rFonts w:ascii="Verdana" w:hAnsi="Verdana"/>
          <w:sz w:val="18"/>
          <w:szCs w:val="20"/>
          <w:lang w:val="en-GB" w:eastAsia="en-GB"/>
        </w:rPr>
        <w:t xml:space="preserve">, </w:t>
      </w:r>
      <w:hyperlink r:id="rId10" w:history="1">
        <w:r w:rsidR="00110DEF" w:rsidRPr="00CA31FC">
          <w:rPr>
            <w:rFonts w:ascii="Verdana" w:hAnsi="Verdana"/>
            <w:sz w:val="18"/>
            <w:szCs w:val="20"/>
            <w:bdr w:val="none" w:sz="0" w:space="0" w:color="auto" w:frame="1"/>
            <w:lang w:val="en-GB" w:eastAsia="en-GB"/>
          </w:rPr>
          <w:t>Butler</w:t>
        </w:r>
      </w:hyperlink>
      <w:r w:rsidR="00110DEF" w:rsidRPr="00CA31FC">
        <w:rPr>
          <w:rFonts w:ascii="Verdana" w:hAnsi="Verdana"/>
          <w:sz w:val="18"/>
          <w:szCs w:val="20"/>
          <w:bdr w:val="none" w:sz="0" w:space="0" w:color="auto" w:frame="1"/>
          <w:lang w:val="en-GB" w:eastAsia="en-GB"/>
        </w:rPr>
        <w:t xml:space="preserve"> G </w:t>
      </w:r>
      <w:r w:rsidR="00110DEF" w:rsidRPr="00CA31FC">
        <w:rPr>
          <w:rFonts w:ascii="Verdana" w:hAnsi="Verdana"/>
          <w:sz w:val="18"/>
          <w:szCs w:val="20"/>
          <w:lang w:val="en-GB" w:eastAsia="en-GB"/>
        </w:rPr>
        <w:t>&amp; </w:t>
      </w:r>
      <w:hyperlink r:id="rId11" w:history="1">
        <w:r w:rsidR="00110DEF" w:rsidRPr="00CA31FC">
          <w:rPr>
            <w:rFonts w:ascii="Verdana" w:hAnsi="Verdana"/>
            <w:sz w:val="18"/>
            <w:szCs w:val="20"/>
            <w:bdr w:val="none" w:sz="0" w:space="0" w:color="auto" w:frame="1"/>
            <w:lang w:val="en-GB" w:eastAsia="en-GB"/>
          </w:rPr>
          <w:t>Leifert</w:t>
        </w:r>
      </w:hyperlink>
      <w:r w:rsidR="00110DEF" w:rsidRPr="00CA31FC">
        <w:rPr>
          <w:rFonts w:ascii="Verdana" w:hAnsi="Verdana"/>
          <w:sz w:val="18"/>
          <w:szCs w:val="20"/>
          <w:lang w:val="en-GB" w:eastAsia="en-GB"/>
        </w:rPr>
        <w:t xml:space="preserve"> C 2011. </w:t>
      </w:r>
      <w:r w:rsidR="00110DEF" w:rsidRPr="00CA31FC">
        <w:rPr>
          <w:rFonts w:ascii="Verdana" w:hAnsi="Verdana"/>
          <w:kern w:val="36"/>
          <w:sz w:val="18"/>
          <w:szCs w:val="20"/>
          <w:lang w:val="en-GB" w:eastAsia="en-GB"/>
        </w:rPr>
        <w:t xml:space="preserve">Life cycle analysis of greenhouse gas emissions from organic and conventional food production systems, with and without bio-energy options. </w:t>
      </w:r>
      <w:r w:rsidR="00110DEF" w:rsidRPr="00CA31FC">
        <w:rPr>
          <w:rFonts w:ascii="Verdana" w:hAnsi="Verdana"/>
          <w:sz w:val="18"/>
          <w:szCs w:val="20"/>
          <w:lang w:val="en-GB"/>
        </w:rPr>
        <w:t>Wageningen J.</w:t>
      </w:r>
      <w:r w:rsidR="00834DE2" w:rsidRPr="00CA31FC">
        <w:rPr>
          <w:rFonts w:ascii="Verdana" w:hAnsi="Verdana"/>
          <w:sz w:val="18"/>
          <w:szCs w:val="20"/>
          <w:lang w:val="en-GB"/>
        </w:rPr>
        <w:t xml:space="preserve"> </w:t>
      </w:r>
      <w:r w:rsidR="00110DEF" w:rsidRPr="00CA31FC">
        <w:rPr>
          <w:rFonts w:ascii="Verdana" w:hAnsi="Verdana"/>
          <w:sz w:val="18"/>
          <w:szCs w:val="20"/>
          <w:lang w:val="en-GB"/>
        </w:rPr>
        <w:t xml:space="preserve">of Life Sci. 58: 185– 192. </w:t>
      </w:r>
    </w:p>
    <w:p w14:paraId="3FFFAA32" w14:textId="1A12D2E0" w:rsidR="00CA31FC" w:rsidRPr="00CA31FC" w:rsidRDefault="00CA31FC" w:rsidP="00CA31FC">
      <w:pPr>
        <w:spacing w:after="120" w:line="240" w:lineRule="auto"/>
        <w:jc w:val="both"/>
        <w:rPr>
          <w:rFonts w:ascii="Verdana" w:hAnsi="Verdana"/>
          <w:sz w:val="18"/>
          <w:szCs w:val="20"/>
          <w:lang w:val="en-GB"/>
        </w:rPr>
      </w:pPr>
      <w:r w:rsidRPr="00CA31FC">
        <w:rPr>
          <w:rFonts w:ascii="Verdana" w:hAnsi="Verdana"/>
          <w:sz w:val="18"/>
          <w:szCs w:val="20"/>
          <w:lang w:val="en-GB"/>
        </w:rPr>
        <w:t>IPCC 2006. 2006 IPCC Guidelines for National Greenhouse Gas Inventories, Prepared by the National Greenhouse Gas Inventories Programme, Eggleston H.S., Buendia L., Miwa K., Ngara T. and Tanabe K. (eds). Published: IGES, Japan.</w:t>
      </w:r>
    </w:p>
    <w:sectPr w:rsidR="00CA31FC" w:rsidRPr="00CA31FC" w:rsidSect="0088497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F4382" w14:textId="77777777" w:rsidR="001918D0" w:rsidRDefault="001918D0" w:rsidP="00FC235E">
      <w:pPr>
        <w:spacing w:after="0" w:line="240" w:lineRule="auto"/>
      </w:pPr>
      <w:r>
        <w:separator/>
      </w:r>
    </w:p>
  </w:endnote>
  <w:endnote w:type="continuationSeparator" w:id="0">
    <w:p w14:paraId="2926C118" w14:textId="77777777" w:rsidR="001918D0" w:rsidRDefault="001918D0" w:rsidP="00FC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6BE72" w14:textId="77777777" w:rsidR="001918D0" w:rsidRDefault="001918D0" w:rsidP="00FC235E">
      <w:pPr>
        <w:spacing w:after="0" w:line="240" w:lineRule="auto"/>
      </w:pPr>
      <w:r>
        <w:separator/>
      </w:r>
    </w:p>
  </w:footnote>
  <w:footnote w:type="continuationSeparator" w:id="0">
    <w:p w14:paraId="2CA269D6" w14:textId="77777777" w:rsidR="001918D0" w:rsidRDefault="001918D0" w:rsidP="00FC2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75A"/>
    <w:multiLevelType w:val="hybridMultilevel"/>
    <w:tmpl w:val="0C9E8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666B15"/>
    <w:multiLevelType w:val="hybridMultilevel"/>
    <w:tmpl w:val="97E46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450F0"/>
    <w:multiLevelType w:val="multilevel"/>
    <w:tmpl w:val="CCEE65C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6649D7"/>
    <w:multiLevelType w:val="hybridMultilevel"/>
    <w:tmpl w:val="086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A"/>
    <w:rsid w:val="0000627E"/>
    <w:rsid w:val="000065A5"/>
    <w:rsid w:val="00024FA1"/>
    <w:rsid w:val="00027FF6"/>
    <w:rsid w:val="00043FBF"/>
    <w:rsid w:val="000553C5"/>
    <w:rsid w:val="000674D1"/>
    <w:rsid w:val="00070A96"/>
    <w:rsid w:val="00072405"/>
    <w:rsid w:val="000A5B62"/>
    <w:rsid w:val="000B57D6"/>
    <w:rsid w:val="000D53E3"/>
    <w:rsid w:val="000E6AB4"/>
    <w:rsid w:val="00110DEF"/>
    <w:rsid w:val="00116485"/>
    <w:rsid w:val="001742B1"/>
    <w:rsid w:val="001918D0"/>
    <w:rsid w:val="001C6E62"/>
    <w:rsid w:val="001D49BF"/>
    <w:rsid w:val="001E449C"/>
    <w:rsid w:val="001F53C6"/>
    <w:rsid w:val="0021554D"/>
    <w:rsid w:val="002217CB"/>
    <w:rsid w:val="002A0012"/>
    <w:rsid w:val="002A4D9D"/>
    <w:rsid w:val="002A57A4"/>
    <w:rsid w:val="002B47F8"/>
    <w:rsid w:val="002B79CF"/>
    <w:rsid w:val="002C29A9"/>
    <w:rsid w:val="002C6485"/>
    <w:rsid w:val="002E724C"/>
    <w:rsid w:val="002F18DE"/>
    <w:rsid w:val="002F1BAE"/>
    <w:rsid w:val="00316AC1"/>
    <w:rsid w:val="00333CE4"/>
    <w:rsid w:val="00360093"/>
    <w:rsid w:val="003722E4"/>
    <w:rsid w:val="003A46EB"/>
    <w:rsid w:val="003D0D28"/>
    <w:rsid w:val="0040762B"/>
    <w:rsid w:val="00416CCF"/>
    <w:rsid w:val="0045535B"/>
    <w:rsid w:val="004A5A3D"/>
    <w:rsid w:val="004A5DCA"/>
    <w:rsid w:val="004F74CF"/>
    <w:rsid w:val="00516517"/>
    <w:rsid w:val="00520B82"/>
    <w:rsid w:val="00526BEC"/>
    <w:rsid w:val="00564530"/>
    <w:rsid w:val="00565B0E"/>
    <w:rsid w:val="005816F9"/>
    <w:rsid w:val="005851EF"/>
    <w:rsid w:val="005A7A67"/>
    <w:rsid w:val="005B7209"/>
    <w:rsid w:val="00605766"/>
    <w:rsid w:val="006928C4"/>
    <w:rsid w:val="006C78E4"/>
    <w:rsid w:val="006D31B2"/>
    <w:rsid w:val="006E1A7C"/>
    <w:rsid w:val="00710A3F"/>
    <w:rsid w:val="00751EF7"/>
    <w:rsid w:val="007563AB"/>
    <w:rsid w:val="00764C41"/>
    <w:rsid w:val="007B5639"/>
    <w:rsid w:val="007D05A4"/>
    <w:rsid w:val="007D494F"/>
    <w:rsid w:val="007E68F0"/>
    <w:rsid w:val="00801590"/>
    <w:rsid w:val="008046B1"/>
    <w:rsid w:val="00834DE2"/>
    <w:rsid w:val="0083786B"/>
    <w:rsid w:val="00847187"/>
    <w:rsid w:val="00861669"/>
    <w:rsid w:val="0088497A"/>
    <w:rsid w:val="008B01C7"/>
    <w:rsid w:val="008B6BE4"/>
    <w:rsid w:val="008C02F0"/>
    <w:rsid w:val="008E6CB3"/>
    <w:rsid w:val="008F48B1"/>
    <w:rsid w:val="008F7B5D"/>
    <w:rsid w:val="00904792"/>
    <w:rsid w:val="009101DA"/>
    <w:rsid w:val="00921C7A"/>
    <w:rsid w:val="00944D1C"/>
    <w:rsid w:val="00974C69"/>
    <w:rsid w:val="009810F7"/>
    <w:rsid w:val="00995EB2"/>
    <w:rsid w:val="009A543C"/>
    <w:rsid w:val="009D3104"/>
    <w:rsid w:val="009F2036"/>
    <w:rsid w:val="00A04E50"/>
    <w:rsid w:val="00A05986"/>
    <w:rsid w:val="00A43103"/>
    <w:rsid w:val="00A460DE"/>
    <w:rsid w:val="00A71400"/>
    <w:rsid w:val="00A834FF"/>
    <w:rsid w:val="00AC1DED"/>
    <w:rsid w:val="00AD3C96"/>
    <w:rsid w:val="00AD3FE3"/>
    <w:rsid w:val="00AE3D70"/>
    <w:rsid w:val="00B14416"/>
    <w:rsid w:val="00B1645B"/>
    <w:rsid w:val="00B357D0"/>
    <w:rsid w:val="00B35AFC"/>
    <w:rsid w:val="00B878EB"/>
    <w:rsid w:val="00BB6D2C"/>
    <w:rsid w:val="00BE45DC"/>
    <w:rsid w:val="00BF7174"/>
    <w:rsid w:val="00C114A2"/>
    <w:rsid w:val="00C5137F"/>
    <w:rsid w:val="00C916F5"/>
    <w:rsid w:val="00C96A16"/>
    <w:rsid w:val="00CA0D2B"/>
    <w:rsid w:val="00CA31FC"/>
    <w:rsid w:val="00CF706C"/>
    <w:rsid w:val="00D103E7"/>
    <w:rsid w:val="00D37A5F"/>
    <w:rsid w:val="00D6774B"/>
    <w:rsid w:val="00D83DF1"/>
    <w:rsid w:val="00D86A08"/>
    <w:rsid w:val="00DB6172"/>
    <w:rsid w:val="00DC4456"/>
    <w:rsid w:val="00DD3229"/>
    <w:rsid w:val="00DE56D6"/>
    <w:rsid w:val="00DE7FE1"/>
    <w:rsid w:val="00E11AF9"/>
    <w:rsid w:val="00E81F61"/>
    <w:rsid w:val="00E917C8"/>
    <w:rsid w:val="00E91AE5"/>
    <w:rsid w:val="00EB093F"/>
    <w:rsid w:val="00ED586F"/>
    <w:rsid w:val="00F13FF8"/>
    <w:rsid w:val="00F55F2E"/>
    <w:rsid w:val="00F84452"/>
    <w:rsid w:val="00F90875"/>
    <w:rsid w:val="00FA780B"/>
    <w:rsid w:val="00FB1E9B"/>
    <w:rsid w:val="00FB4DDE"/>
    <w:rsid w:val="00FC235E"/>
    <w:rsid w:val="00FC7345"/>
    <w:rsid w:val="00FD5B5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BFA9"/>
  <w15:docId w15:val="{D10093ED-06E5-4D92-847F-FD92E336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7A"/>
    <w:rPr>
      <w:rFonts w:asciiTheme="minorHAnsi" w:hAnsiTheme="minorHAnsi" w:cstheme="minorBidi"/>
      <w:sz w:val="22"/>
      <w:szCs w:val="22"/>
    </w:rPr>
  </w:style>
  <w:style w:type="paragraph" w:styleId="Heading1">
    <w:name w:val="heading 1"/>
    <w:basedOn w:val="Normal"/>
    <w:next w:val="Normal"/>
    <w:link w:val="Heading1Char"/>
    <w:autoRedefine/>
    <w:qFormat/>
    <w:rsid w:val="007D05A4"/>
    <w:pPr>
      <w:keepNext/>
      <w:numPr>
        <w:numId w:val="2"/>
      </w:numPr>
      <w:spacing w:after="360"/>
      <w:ind w:left="714" w:hanging="357"/>
      <w:jc w:val="center"/>
      <w:outlineLvl w:val="0"/>
    </w:pPr>
    <w:rPr>
      <w:rFonts w:ascii="Times New Roman Bold" w:hAnsi="Times New Roman Bold"/>
      <w:b/>
      <w:caps/>
      <w:sz w:val="28"/>
      <w:szCs w:val="28"/>
      <w:lang w:val="en-GB"/>
    </w:rPr>
  </w:style>
  <w:style w:type="paragraph" w:styleId="Heading2">
    <w:name w:val="heading 2"/>
    <w:basedOn w:val="Normal"/>
    <w:next w:val="Normal"/>
    <w:link w:val="Heading2Char"/>
    <w:autoRedefine/>
    <w:qFormat/>
    <w:rsid w:val="005A7A67"/>
    <w:pPr>
      <w:keepNext/>
      <w:numPr>
        <w:ilvl w:val="2"/>
        <w:numId w:val="3"/>
      </w:numPr>
      <w:spacing w:before="240" w:after="120"/>
      <w:jc w:val="center"/>
      <w:outlineLvl w:val="1"/>
    </w:pPr>
    <w:rPr>
      <w:rFonts w:ascii="Times New Roman Bold" w:hAnsi="Times New Roman Bold"/>
      <w:b/>
    </w:rPr>
  </w:style>
  <w:style w:type="paragraph" w:styleId="Heading3">
    <w:name w:val="heading 3"/>
    <w:basedOn w:val="Normal"/>
    <w:next w:val="Normal"/>
    <w:link w:val="Heading3Char"/>
    <w:autoRedefine/>
    <w:uiPriority w:val="9"/>
    <w:unhideWhenUsed/>
    <w:qFormat/>
    <w:rsid w:val="005A7A67"/>
    <w:pPr>
      <w:keepNext/>
      <w:keepLines/>
      <w:spacing w:before="200" w:after="120"/>
      <w:jc w:val="center"/>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5A4"/>
    <w:rPr>
      <w:rFonts w:ascii="Times New Roman Bold" w:hAnsi="Times New Roman Bold"/>
      <w:b/>
      <w:caps/>
      <w:sz w:val="28"/>
      <w:szCs w:val="28"/>
      <w:lang w:val="en-GB"/>
    </w:rPr>
  </w:style>
  <w:style w:type="character" w:customStyle="1" w:styleId="Heading2Char">
    <w:name w:val="Heading 2 Char"/>
    <w:basedOn w:val="DefaultParagraphFont"/>
    <w:link w:val="Heading2"/>
    <w:rsid w:val="005A7A67"/>
    <w:rPr>
      <w:rFonts w:ascii="Times New Roman Bold" w:hAnsi="Times New Roman Bold"/>
      <w:b/>
      <w:szCs w:val="20"/>
    </w:rPr>
  </w:style>
  <w:style w:type="character" w:customStyle="1" w:styleId="Heading3Char">
    <w:name w:val="Heading 3 Char"/>
    <w:basedOn w:val="DefaultParagraphFont"/>
    <w:link w:val="Heading3"/>
    <w:uiPriority w:val="9"/>
    <w:rsid w:val="005A7A67"/>
    <w:rPr>
      <w:rFonts w:ascii="Times New Roman Bold" w:eastAsiaTheme="majorEastAsia" w:hAnsi="Times New Roman Bold" w:cstheme="majorBidi"/>
      <w:b/>
      <w:bCs/>
      <w:szCs w:val="20"/>
      <w:lang w:val="en-US"/>
    </w:rPr>
  </w:style>
  <w:style w:type="character" w:styleId="Hyperlink">
    <w:name w:val="Hyperlink"/>
    <w:basedOn w:val="DefaultParagraphFont"/>
    <w:uiPriority w:val="99"/>
    <w:rsid w:val="0088497A"/>
    <w:rPr>
      <w:rFonts w:cs="Times New Roman"/>
      <w:color w:val="0000FF"/>
      <w:u w:val="single"/>
    </w:rPr>
  </w:style>
  <w:style w:type="table" w:styleId="TableGrid">
    <w:name w:val="Table Grid"/>
    <w:basedOn w:val="TableNormal"/>
    <w:uiPriority w:val="59"/>
    <w:rsid w:val="00516517"/>
    <w:pPr>
      <w:spacing w:after="0"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10DEF"/>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FC23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235E"/>
    <w:rPr>
      <w:rFonts w:asciiTheme="minorHAnsi" w:hAnsiTheme="minorHAnsi" w:cstheme="minorBidi"/>
      <w:sz w:val="22"/>
      <w:szCs w:val="22"/>
    </w:rPr>
  </w:style>
  <w:style w:type="paragraph" w:styleId="Footer">
    <w:name w:val="footer"/>
    <w:basedOn w:val="Normal"/>
    <w:link w:val="FooterChar"/>
    <w:uiPriority w:val="99"/>
    <w:unhideWhenUsed/>
    <w:rsid w:val="00FC23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235E"/>
    <w:rPr>
      <w:rFonts w:asciiTheme="minorHAnsi" w:hAnsiTheme="minorHAnsi" w:cstheme="minorBidi"/>
      <w:sz w:val="22"/>
      <w:szCs w:val="22"/>
    </w:rPr>
  </w:style>
  <w:style w:type="character" w:customStyle="1" w:styleId="hps">
    <w:name w:val="hps"/>
    <w:basedOn w:val="DefaultParagraphFont"/>
    <w:rsid w:val="00BE45DC"/>
  </w:style>
  <w:style w:type="character" w:styleId="CommentReference">
    <w:name w:val="annotation reference"/>
    <w:basedOn w:val="DefaultParagraphFont"/>
    <w:uiPriority w:val="99"/>
    <w:semiHidden/>
    <w:unhideWhenUsed/>
    <w:rsid w:val="005851EF"/>
    <w:rPr>
      <w:sz w:val="16"/>
      <w:szCs w:val="16"/>
    </w:rPr>
  </w:style>
  <w:style w:type="paragraph" w:styleId="CommentText">
    <w:name w:val="annotation text"/>
    <w:basedOn w:val="Normal"/>
    <w:link w:val="CommentTextChar"/>
    <w:uiPriority w:val="99"/>
    <w:semiHidden/>
    <w:unhideWhenUsed/>
    <w:rsid w:val="005851EF"/>
    <w:pPr>
      <w:spacing w:line="240" w:lineRule="auto"/>
    </w:pPr>
    <w:rPr>
      <w:sz w:val="20"/>
      <w:szCs w:val="20"/>
    </w:rPr>
  </w:style>
  <w:style w:type="character" w:customStyle="1" w:styleId="CommentTextChar">
    <w:name w:val="Comment Text Char"/>
    <w:basedOn w:val="DefaultParagraphFont"/>
    <w:link w:val="CommentText"/>
    <w:uiPriority w:val="99"/>
    <w:semiHidden/>
    <w:rsid w:val="005851E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851EF"/>
    <w:rPr>
      <w:b/>
      <w:bCs/>
    </w:rPr>
  </w:style>
  <w:style w:type="character" w:customStyle="1" w:styleId="CommentSubjectChar">
    <w:name w:val="Comment Subject Char"/>
    <w:basedOn w:val="CommentTextChar"/>
    <w:link w:val="CommentSubject"/>
    <w:uiPriority w:val="99"/>
    <w:semiHidden/>
    <w:rsid w:val="005851EF"/>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58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EF"/>
    <w:rPr>
      <w:rFonts w:ascii="Tahoma" w:hAnsi="Tahoma" w:cs="Tahoma"/>
      <w:sz w:val="16"/>
      <w:szCs w:val="16"/>
    </w:rPr>
  </w:style>
  <w:style w:type="character" w:customStyle="1" w:styleId="ListParagraphChar">
    <w:name w:val="List Paragraph Char"/>
    <w:link w:val="ListParagraph"/>
    <w:locked/>
    <w:rsid w:val="00B35AFC"/>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8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dra.kreismane@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1573521411000340" TargetMode="External"/><Relationship Id="rId5" Type="http://schemas.openxmlformats.org/officeDocument/2006/relationships/webSettings" Target="webSettings.xml"/><Relationship Id="rId10" Type="http://schemas.openxmlformats.org/officeDocument/2006/relationships/hyperlink" Target="http://www.sciencedirect.com/science/article/pii/S1573521411000340" TargetMode="External"/><Relationship Id="rId4" Type="http://schemas.openxmlformats.org/officeDocument/2006/relationships/settings" Target="settings.xml"/><Relationship Id="rId9" Type="http://schemas.openxmlformats.org/officeDocument/2006/relationships/hyperlink" Target="http://www.sciencedirect.com/science/article/pii/S157352141100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83F0-4D7F-4FFC-AEA7-4CA1E94D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Ilse Ankjær Rasmussen</cp:lastModifiedBy>
  <cp:revision>3</cp:revision>
  <dcterms:created xsi:type="dcterms:W3CDTF">2017-05-23T07:00:00Z</dcterms:created>
  <dcterms:modified xsi:type="dcterms:W3CDTF">2017-05-23T08:24:00Z</dcterms:modified>
</cp:coreProperties>
</file>