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65834B" w14:textId="77777777" w:rsidR="00793ADC" w:rsidRPr="00CD345E" w:rsidRDefault="00793ADC" w:rsidP="00793ADC">
      <w:pPr>
        <w:pStyle w:val="Titel1"/>
        <w:rPr>
          <w:lang w:val="en-GB"/>
        </w:rPr>
      </w:pPr>
      <w:r w:rsidRPr="000D3755">
        <w:rPr>
          <w:sz w:val="32"/>
          <w:szCs w:val="32"/>
        </w:rPr>
        <w:t xml:space="preserve">The </w:t>
      </w:r>
      <w:r w:rsidRPr="00E44CD4">
        <w:rPr>
          <w:sz w:val="32"/>
          <w:szCs w:val="32"/>
        </w:rPr>
        <w:t>role of the business logic for growing value chains of organic food</w:t>
      </w:r>
      <w:r>
        <w:rPr>
          <w:sz w:val="32"/>
          <w:szCs w:val="32"/>
        </w:rPr>
        <w:t xml:space="preserve"> </w:t>
      </w:r>
      <w:r w:rsidRPr="00E44CD4">
        <w:rPr>
          <w:sz w:val="32"/>
          <w:szCs w:val="32"/>
        </w:rPr>
        <w:t>– first results of an international case study analysis</w:t>
      </w:r>
    </w:p>
    <w:p w14:paraId="576A9DAD" w14:textId="77777777" w:rsidR="00793ADC" w:rsidRPr="00221944" w:rsidRDefault="00793ADC" w:rsidP="002248B5">
      <w:pPr>
        <w:rPr>
          <w:lang w:val="en-US"/>
        </w:rPr>
      </w:pPr>
    </w:p>
    <w:p w14:paraId="354AE418" w14:textId="77777777" w:rsidR="00793ADC" w:rsidRPr="000D3755" w:rsidRDefault="00793ADC" w:rsidP="00793ADC">
      <w:pPr>
        <w:pStyle w:val="Authors"/>
        <w:rPr>
          <w:sz w:val="20"/>
          <w:lang w:val="en-US"/>
        </w:rPr>
      </w:pPr>
      <w:r w:rsidRPr="0000152B">
        <w:rPr>
          <w:sz w:val="20"/>
          <w:lang w:val="en-US"/>
        </w:rPr>
        <w:t>Susanne v. Münchhausen</w:t>
      </w:r>
      <w:r w:rsidRPr="0000152B">
        <w:rPr>
          <w:sz w:val="20"/>
          <w:vertAlign w:val="superscript"/>
          <w:lang w:val="en-US"/>
        </w:rPr>
        <w:t>1</w:t>
      </w:r>
      <w:r w:rsidRPr="0000152B">
        <w:rPr>
          <w:sz w:val="20"/>
          <w:lang w:val="en-US"/>
        </w:rPr>
        <w:t>, Anna Maria Häring</w:t>
      </w:r>
      <w:r w:rsidRPr="0000152B">
        <w:rPr>
          <w:sz w:val="20"/>
          <w:vertAlign w:val="superscript"/>
          <w:lang w:val="en-US"/>
        </w:rPr>
        <w:t>1</w:t>
      </w:r>
      <w:r w:rsidRPr="0000152B">
        <w:rPr>
          <w:sz w:val="20"/>
          <w:lang w:val="en-US"/>
        </w:rPr>
        <w:t>, Gunn-</w:t>
      </w:r>
      <w:proofErr w:type="spellStart"/>
      <w:r w:rsidRPr="0000152B">
        <w:rPr>
          <w:sz w:val="20"/>
          <w:lang w:val="en-US"/>
        </w:rPr>
        <w:t>Turid</w:t>
      </w:r>
      <w:proofErr w:type="spellEnd"/>
      <w:r w:rsidRPr="0000152B">
        <w:rPr>
          <w:sz w:val="20"/>
          <w:lang w:val="en-US"/>
        </w:rPr>
        <w:t xml:space="preserve"> Kvam</w:t>
      </w:r>
      <w:r w:rsidRPr="0000152B">
        <w:rPr>
          <w:sz w:val="20"/>
          <w:vertAlign w:val="superscript"/>
          <w:lang w:val="en-US"/>
        </w:rPr>
        <w:t>2</w:t>
      </w:r>
      <w:r w:rsidRPr="0000152B">
        <w:rPr>
          <w:sz w:val="20"/>
          <w:lang w:val="en-US"/>
        </w:rPr>
        <w:t xml:space="preserve">, </w:t>
      </w:r>
      <w:proofErr w:type="spellStart"/>
      <w:r w:rsidRPr="000D3755">
        <w:rPr>
          <w:sz w:val="20"/>
          <w:lang w:val="en-US"/>
        </w:rPr>
        <w:t>Rebecka</w:t>
      </w:r>
      <w:proofErr w:type="spellEnd"/>
      <w:r w:rsidRPr="000D3755">
        <w:rPr>
          <w:sz w:val="20"/>
          <w:lang w:val="en-US"/>
        </w:rPr>
        <w:t xml:space="preserve"> Milestad</w:t>
      </w:r>
      <w:r w:rsidRPr="00542480">
        <w:rPr>
          <w:sz w:val="20"/>
          <w:vertAlign w:val="superscript"/>
          <w:lang w:val="en-US"/>
        </w:rPr>
        <w:t>3</w:t>
      </w:r>
    </w:p>
    <w:p w14:paraId="76BB8F43" w14:textId="77777777" w:rsidR="007F423C" w:rsidRPr="00DF2AD1" w:rsidRDefault="007F423C">
      <w:pPr>
        <w:pStyle w:val="Authors"/>
        <w:rPr>
          <w:sz w:val="16"/>
          <w:szCs w:val="16"/>
          <w:lang w:val="en-US"/>
        </w:rPr>
      </w:pPr>
    </w:p>
    <w:p w14:paraId="1473E3D8" w14:textId="77777777" w:rsidR="007F423C" w:rsidRPr="00793ADC" w:rsidRDefault="007F423C" w:rsidP="002248B5">
      <w:pPr>
        <w:rPr>
          <w:lang w:val="en-US"/>
        </w:rPr>
      </w:pPr>
    </w:p>
    <w:p w14:paraId="3CF89B87" w14:textId="77777777" w:rsidR="007F423C" w:rsidRPr="00793ADC" w:rsidRDefault="007F423C">
      <w:pPr>
        <w:pStyle w:val="Authors"/>
        <w:jc w:val="left"/>
        <w:rPr>
          <w:lang w:val="en-US"/>
        </w:rPr>
        <w:sectPr w:rsidR="007F423C" w:rsidRPr="00793ADC">
          <w:headerReference w:type="default" r:id="rId9"/>
          <w:footerReference w:type="even" r:id="rId10"/>
          <w:footerReference w:type="default" r:id="rId11"/>
          <w:pgSz w:w="11907" w:h="16840" w:code="9"/>
          <w:pgMar w:top="1701" w:right="1134" w:bottom="1418" w:left="1474" w:header="709" w:footer="709" w:gutter="0"/>
          <w:cols w:space="720"/>
        </w:sectPr>
      </w:pPr>
    </w:p>
    <w:p w14:paraId="28735D84" w14:textId="0A6FB181" w:rsidR="007F423C" w:rsidRPr="00BF3817" w:rsidRDefault="007F423C">
      <w:pPr>
        <w:pStyle w:val="abstract"/>
      </w:pPr>
      <w:r w:rsidRPr="00BF3817">
        <w:rPr>
          <w:i/>
          <w:iCs/>
        </w:rPr>
        <w:lastRenderedPageBreak/>
        <w:t xml:space="preserve">Abstract </w:t>
      </w:r>
      <w:r w:rsidR="00D54350">
        <w:rPr>
          <w:i/>
          <w:iCs/>
        </w:rPr>
        <w:t>–</w:t>
      </w:r>
      <w:r w:rsidRPr="00EA1A08">
        <w:rPr>
          <w:rStyle w:val="Funotenzeichen"/>
          <w:color w:val="FFFFFF"/>
        </w:rPr>
        <w:footnoteReference w:id="1"/>
      </w:r>
      <w:r w:rsidR="00793ADC" w:rsidRPr="00793ADC">
        <w:rPr>
          <w:iCs/>
        </w:rPr>
        <w:t>Values-based food chains link primary production with the end-consumer ensuring the maintenance of particular values related to the pro</w:t>
      </w:r>
      <w:r w:rsidR="00793ADC" w:rsidRPr="00793ADC">
        <w:rPr>
          <w:iCs/>
        </w:rPr>
        <w:t>d</w:t>
      </w:r>
      <w:r w:rsidR="00793ADC" w:rsidRPr="00793ADC">
        <w:rPr>
          <w:iCs/>
        </w:rPr>
        <w:t xml:space="preserve">uct or production processes. The paper presents the analyses of business strategies </w:t>
      </w:r>
      <w:r w:rsidR="00981205">
        <w:rPr>
          <w:iCs/>
        </w:rPr>
        <w:t>and management instruments of 20</w:t>
      </w:r>
      <w:r w:rsidR="00793ADC" w:rsidRPr="00793ADC">
        <w:rPr>
          <w:iCs/>
        </w:rPr>
        <w:t xml:space="preserve"> case studies in Europe and Turkey. </w:t>
      </w:r>
      <w:r w:rsidR="005B6B3D">
        <w:rPr>
          <w:iCs/>
        </w:rPr>
        <w:t xml:space="preserve">Analyses </w:t>
      </w:r>
      <w:r w:rsidR="00793ADC" w:rsidRPr="00793ADC">
        <w:rPr>
          <w:iCs/>
        </w:rPr>
        <w:t>s</w:t>
      </w:r>
      <w:r w:rsidR="000D758C">
        <w:rPr>
          <w:iCs/>
        </w:rPr>
        <w:t xml:space="preserve">how that all studied </w:t>
      </w:r>
      <w:r w:rsidR="00221944">
        <w:rPr>
          <w:iCs/>
        </w:rPr>
        <w:t xml:space="preserve">cases </w:t>
      </w:r>
      <w:r w:rsidR="00793ADC" w:rsidRPr="00793ADC">
        <w:rPr>
          <w:iCs/>
        </w:rPr>
        <w:t xml:space="preserve">have </w:t>
      </w:r>
      <w:r w:rsidR="007E0B10">
        <w:rPr>
          <w:iCs/>
        </w:rPr>
        <w:t xml:space="preserve">a </w:t>
      </w:r>
      <w:r w:rsidR="00793ADC" w:rsidRPr="00793ADC">
        <w:rPr>
          <w:iCs/>
        </w:rPr>
        <w:t>co</w:t>
      </w:r>
      <w:r w:rsidR="00793ADC" w:rsidRPr="00793ADC">
        <w:rPr>
          <w:iCs/>
        </w:rPr>
        <w:t>n</w:t>
      </w:r>
      <w:r w:rsidR="00793ADC" w:rsidRPr="00793ADC">
        <w:rPr>
          <w:iCs/>
        </w:rPr>
        <w:t xml:space="preserve">sistent internal organisation </w:t>
      </w:r>
      <w:r w:rsidR="000D758C">
        <w:rPr>
          <w:iCs/>
        </w:rPr>
        <w:t xml:space="preserve">as well as </w:t>
      </w:r>
      <w:r w:rsidR="00793ADC" w:rsidRPr="00793ADC">
        <w:rPr>
          <w:iCs/>
        </w:rPr>
        <w:t xml:space="preserve">cooperation and communication in the specific </w:t>
      </w:r>
      <w:r w:rsidR="00221944">
        <w:rPr>
          <w:iCs/>
        </w:rPr>
        <w:t xml:space="preserve">value </w:t>
      </w:r>
      <w:r w:rsidR="00793ADC" w:rsidRPr="00793ADC">
        <w:rPr>
          <w:iCs/>
        </w:rPr>
        <w:t xml:space="preserve">chain. The </w:t>
      </w:r>
      <w:r w:rsidR="005B6B3D">
        <w:rPr>
          <w:iCs/>
        </w:rPr>
        <w:t xml:space="preserve">concept of business logic analysis </w:t>
      </w:r>
      <w:r w:rsidR="00793ADC" w:rsidRPr="00793ADC">
        <w:rPr>
          <w:iCs/>
        </w:rPr>
        <w:t>helps to identify success factors related to business and chain ma</w:t>
      </w:r>
      <w:r w:rsidR="00793ADC" w:rsidRPr="00793ADC">
        <w:rPr>
          <w:iCs/>
        </w:rPr>
        <w:t>n</w:t>
      </w:r>
      <w:r w:rsidR="00793ADC" w:rsidRPr="00793ADC">
        <w:rPr>
          <w:iCs/>
        </w:rPr>
        <w:t>agement for growing values-based food processing and marketing</w:t>
      </w:r>
      <w:r w:rsidR="00AA72D6">
        <w:rPr>
          <w:iCs/>
        </w:rPr>
        <w:t>.</w:t>
      </w:r>
    </w:p>
    <w:p w14:paraId="6CD751C4" w14:textId="77777777" w:rsidR="007F423C" w:rsidRPr="00DF2AD1" w:rsidRDefault="007F423C">
      <w:pPr>
        <w:pStyle w:val="Normaltext"/>
        <w:rPr>
          <w:sz w:val="12"/>
          <w:szCs w:val="12"/>
        </w:rPr>
      </w:pPr>
    </w:p>
    <w:p w14:paraId="1B68AA9E" w14:textId="77777777" w:rsidR="001A6419" w:rsidRPr="00BF3817" w:rsidRDefault="001A6419" w:rsidP="001A6419">
      <w:pPr>
        <w:pStyle w:val="berschrift11"/>
      </w:pPr>
      <w:r w:rsidRPr="00BF3817">
        <w:t>Introduction</w:t>
      </w:r>
      <w:r>
        <w:t xml:space="preserve"> </w:t>
      </w:r>
    </w:p>
    <w:p w14:paraId="0C2120D3" w14:textId="77777777" w:rsidR="00ED055A" w:rsidRDefault="00793ADC" w:rsidP="00793ADC">
      <w:pPr>
        <w:pStyle w:val="Normaltext"/>
        <w:tabs>
          <w:tab w:val="left" w:pos="284"/>
        </w:tabs>
      </w:pPr>
      <w:r>
        <w:t xml:space="preserve">Values-based food chains link farmers, processors, wholesale and retail traders so that the end-consumer receives a product with additional quality attributes such as regionality, fair trade, </w:t>
      </w:r>
      <w:proofErr w:type="gramStart"/>
      <w:r>
        <w:t>high</w:t>
      </w:r>
      <w:proofErr w:type="gramEnd"/>
      <w:r>
        <w:t xml:space="preserve"> animal welfare or nature conservation standards. The transmission of such additional values which are beyond general food standards requires chain speci</w:t>
      </w:r>
      <w:r>
        <w:t>f</w:t>
      </w:r>
      <w:r>
        <w:t>ic objectives and well-targeted management strat</w:t>
      </w:r>
      <w:r>
        <w:t>e</w:t>
      </w:r>
      <w:r>
        <w:t>gies</w:t>
      </w:r>
      <w:r w:rsidR="00ED055A">
        <w:t xml:space="preserve"> (</w:t>
      </w:r>
      <w:proofErr w:type="spellStart"/>
      <w:r w:rsidR="00ED055A">
        <w:t>Schaltegger</w:t>
      </w:r>
      <w:proofErr w:type="spellEnd"/>
      <w:r w:rsidR="00ED055A">
        <w:t xml:space="preserve"> et. al 2002)</w:t>
      </w:r>
      <w:r>
        <w:t xml:space="preserve">. </w:t>
      </w:r>
    </w:p>
    <w:p w14:paraId="75629789" w14:textId="6AF2D914" w:rsidR="00DB5076" w:rsidRDefault="00A34A25" w:rsidP="00793ADC">
      <w:pPr>
        <w:pStyle w:val="Normaltext"/>
        <w:tabs>
          <w:tab w:val="left" w:pos="284"/>
        </w:tabs>
      </w:pPr>
      <w:r>
        <w:tab/>
      </w:r>
      <w:r w:rsidR="00793ADC">
        <w:t xml:space="preserve">The business logic provides the ‘guideline’ matching management of chain partners with core objectives. </w:t>
      </w:r>
      <w:r w:rsidR="00AE25A4">
        <w:t xml:space="preserve">Our understanding of business logic is founded on the idea that businesses and initiatives have </w:t>
      </w:r>
      <w:proofErr w:type="gramStart"/>
      <w:r w:rsidR="00AE25A4">
        <w:t>an overarching</w:t>
      </w:r>
      <w:proofErr w:type="gramEnd"/>
      <w:r w:rsidR="00AE25A4">
        <w:t xml:space="preserve"> </w:t>
      </w:r>
      <w:r w:rsidR="00AE25A4" w:rsidRPr="00AE25A4">
        <w:t>business logic</w:t>
      </w:r>
      <w:r w:rsidR="00AE25A4">
        <w:t xml:space="preserve"> when business goals, business strategies and management instr</w:t>
      </w:r>
      <w:r w:rsidR="00AE25A4">
        <w:t>u</w:t>
      </w:r>
      <w:r w:rsidR="00AE25A4">
        <w:t>ments are internally consistent. Based on this, we have two hypotheses:</w:t>
      </w:r>
    </w:p>
    <w:p w14:paraId="4D032CA9" w14:textId="08099EC0" w:rsidR="00DB5076" w:rsidRDefault="00ED055A" w:rsidP="001C1269">
      <w:pPr>
        <w:pStyle w:val="Normaltext"/>
        <w:numPr>
          <w:ilvl w:val="0"/>
          <w:numId w:val="1"/>
        </w:numPr>
        <w:tabs>
          <w:tab w:val="left" w:pos="567"/>
        </w:tabs>
        <w:ind w:left="567" w:hanging="425"/>
      </w:pPr>
      <w:r>
        <w:t xml:space="preserve">When objectives and strategies follow </w:t>
      </w:r>
      <w:proofErr w:type="gramStart"/>
      <w:r w:rsidR="00DB5076">
        <w:t>a bus</w:t>
      </w:r>
      <w:r w:rsidR="00DB5076">
        <w:t>i</w:t>
      </w:r>
      <w:r w:rsidR="00DB5076">
        <w:t>ness</w:t>
      </w:r>
      <w:proofErr w:type="gramEnd"/>
      <w:r w:rsidR="00DB5076">
        <w:t xml:space="preserve"> </w:t>
      </w:r>
      <w:r>
        <w:t xml:space="preserve">logic, </w:t>
      </w:r>
      <w:r w:rsidR="00AE25A4">
        <w:t xml:space="preserve">the </w:t>
      </w:r>
      <w:r w:rsidR="00DB5076">
        <w:t>businesses</w:t>
      </w:r>
      <w:r w:rsidR="009F578A">
        <w:t xml:space="preserve"> and food initiatives </w:t>
      </w:r>
      <w:r w:rsidR="00AE25A4">
        <w:t xml:space="preserve">can </w:t>
      </w:r>
      <w:r>
        <w:t xml:space="preserve">maintain the additional values </w:t>
      </w:r>
      <w:r w:rsidR="00DB5076">
        <w:t xml:space="preserve">of food products or production processes they are based on and wish to communicate to end-consumers - </w:t>
      </w:r>
      <w:r>
        <w:t xml:space="preserve">organic, regional, </w:t>
      </w:r>
      <w:r w:rsidR="001C1269">
        <w:t xml:space="preserve">natural or </w:t>
      </w:r>
      <w:r>
        <w:t>tr</w:t>
      </w:r>
      <w:r>
        <w:t>a</w:t>
      </w:r>
      <w:r>
        <w:t>ditionally manufactured</w:t>
      </w:r>
      <w:r w:rsidR="001C1269">
        <w:t>.</w:t>
      </w:r>
    </w:p>
    <w:p w14:paraId="7234AE22" w14:textId="0961533E" w:rsidR="001C1269" w:rsidRDefault="001C1269" w:rsidP="001C1269">
      <w:pPr>
        <w:pStyle w:val="Normaltext"/>
        <w:numPr>
          <w:ilvl w:val="0"/>
          <w:numId w:val="1"/>
        </w:numPr>
        <w:tabs>
          <w:tab w:val="left" w:pos="567"/>
        </w:tabs>
        <w:ind w:left="567" w:hanging="425"/>
      </w:pPr>
      <w:r>
        <w:t>The identification and analysis of business logic helps to improve the management of value-based food businesses</w:t>
      </w:r>
      <w:r w:rsidR="009F578A">
        <w:t>/</w:t>
      </w:r>
      <w:r>
        <w:t xml:space="preserve">initiatives and highlights enabling and hampering external conditions e.g. </w:t>
      </w:r>
      <w:r w:rsidR="00AE25A4">
        <w:t xml:space="preserve">policy </w:t>
      </w:r>
      <w:r>
        <w:t xml:space="preserve">or </w:t>
      </w:r>
      <w:r w:rsidR="00AE25A4">
        <w:t xml:space="preserve">economic </w:t>
      </w:r>
      <w:r>
        <w:t>framework.</w:t>
      </w:r>
    </w:p>
    <w:p w14:paraId="21438ACB" w14:textId="176B0FEE" w:rsidR="005F6E8D" w:rsidRDefault="0036167E" w:rsidP="001A6419">
      <w:pPr>
        <w:pStyle w:val="Normaltext"/>
        <w:tabs>
          <w:tab w:val="left" w:pos="284"/>
        </w:tabs>
      </w:pPr>
      <w:r w:rsidRPr="0036167E">
        <w:lastRenderedPageBreak/>
        <w:t>If we want to learn more about the management adjustments needed in periods of growth or crisis, we need to scrutinize business strategies, the use of particular management instruments and look into their consistency. Following this thought, we can identify gaps or inefficiencies in respect to the ma</w:t>
      </w:r>
      <w:r w:rsidRPr="0036167E">
        <w:t>n</w:t>
      </w:r>
      <w:r w:rsidRPr="0036167E">
        <w:t>agement of the business or initiative. Aiming to improve the efficient organisation of the businesses</w:t>
      </w:r>
      <w:r w:rsidR="009F578A">
        <w:t xml:space="preserve"> and food </w:t>
      </w:r>
      <w:r w:rsidRPr="0036167E">
        <w:t>initiatives and the enhancement of future-oriented development processes, the analysis will help to improve strategic planning and organisatio</w:t>
      </w:r>
      <w:r w:rsidRPr="0036167E">
        <w:t>n</w:t>
      </w:r>
      <w:r w:rsidRPr="0036167E">
        <w:t>al processes of individual businesses, initiatives and value added food chains.</w:t>
      </w:r>
      <w:r>
        <w:t xml:space="preserve"> The</w:t>
      </w:r>
      <w:r w:rsidR="00793ADC">
        <w:t xml:space="preserve"> </w:t>
      </w:r>
      <w:r w:rsidR="00D37717">
        <w:t xml:space="preserve">case study </w:t>
      </w:r>
      <w:r w:rsidR="00793ADC">
        <w:t xml:space="preserve">analysis aims to </w:t>
      </w:r>
      <w:r>
        <w:t xml:space="preserve">firstly </w:t>
      </w:r>
      <w:r w:rsidR="00793ADC">
        <w:t xml:space="preserve">identify </w:t>
      </w:r>
      <w:r w:rsidR="00793ADC" w:rsidRPr="00793ADC">
        <w:t xml:space="preserve">strategies and instruments used to realise </w:t>
      </w:r>
      <w:r w:rsidR="000F4DAD">
        <w:t xml:space="preserve">growth and other </w:t>
      </w:r>
      <w:r w:rsidR="00793ADC" w:rsidRPr="00793ADC">
        <w:t>goals</w:t>
      </w:r>
      <w:r>
        <w:t>,</w:t>
      </w:r>
      <w:r w:rsidR="00793ADC">
        <w:t xml:space="preserve"> </w:t>
      </w:r>
      <w:r>
        <w:t xml:space="preserve">secondly </w:t>
      </w:r>
      <w:r w:rsidR="000F4DAD">
        <w:t>explore coherence of goals, strategies and instr</w:t>
      </w:r>
      <w:r w:rsidR="000F4DAD">
        <w:t>u</w:t>
      </w:r>
      <w:r w:rsidR="000F4DAD">
        <w:t xml:space="preserve">ments – defined as business logic - and based on this, identify gaps in </w:t>
      </w:r>
      <w:r w:rsidR="00793ADC" w:rsidRPr="00793ADC">
        <w:t>effectiveness, economic pe</w:t>
      </w:r>
      <w:r w:rsidR="00793ADC" w:rsidRPr="00793ADC">
        <w:t>r</w:t>
      </w:r>
      <w:r w:rsidR="00793ADC" w:rsidRPr="00793ADC">
        <w:t xml:space="preserve">formance and efficiency in </w:t>
      </w:r>
      <w:r w:rsidR="00793ADC">
        <w:t xml:space="preserve">the </w:t>
      </w:r>
      <w:r w:rsidR="000F4DAD">
        <w:t>expanding chain</w:t>
      </w:r>
      <w:r w:rsidR="00793ADC" w:rsidRPr="00793ADC">
        <w:t>.</w:t>
      </w:r>
    </w:p>
    <w:p w14:paraId="2C8B20DF" w14:textId="77777777" w:rsidR="00DF2AD1" w:rsidRPr="00DF2AD1" w:rsidRDefault="00DF2AD1" w:rsidP="00DF2AD1">
      <w:pPr>
        <w:pStyle w:val="Normaltext"/>
        <w:rPr>
          <w:sz w:val="12"/>
          <w:szCs w:val="12"/>
        </w:rPr>
      </w:pPr>
    </w:p>
    <w:p w14:paraId="7E089259" w14:textId="77777777" w:rsidR="001A6419" w:rsidRPr="00BF3817" w:rsidRDefault="001A6419" w:rsidP="001A6419">
      <w:pPr>
        <w:pStyle w:val="berschrift11"/>
      </w:pPr>
      <w:r>
        <w:t>Methods</w:t>
      </w:r>
    </w:p>
    <w:p w14:paraId="5AF258E3" w14:textId="5F2DD157" w:rsidR="00D425BF" w:rsidRDefault="0036167E" w:rsidP="001A6419">
      <w:pPr>
        <w:pStyle w:val="Normaltext"/>
        <w:tabs>
          <w:tab w:val="left" w:pos="240"/>
        </w:tabs>
      </w:pPr>
      <w:r>
        <w:t xml:space="preserve">The theoretical framework is tested on </w:t>
      </w:r>
      <w:r w:rsidR="00981205">
        <w:t>20</w:t>
      </w:r>
      <w:r w:rsidR="000F4DAD">
        <w:t xml:space="preserve"> </w:t>
      </w:r>
      <w:r>
        <w:t>case stu</w:t>
      </w:r>
      <w:r>
        <w:t>d</w:t>
      </w:r>
      <w:r>
        <w:t>ies</w:t>
      </w:r>
      <w:r w:rsidR="00D425BF">
        <w:t>.</w:t>
      </w:r>
      <w:r>
        <w:t xml:space="preserve"> </w:t>
      </w:r>
      <w:r w:rsidR="00D425BF" w:rsidRPr="0036167E">
        <w:t xml:space="preserve">The case studies represent a variety of organic food businesses, initiatives, </w:t>
      </w:r>
      <w:r w:rsidR="00D425BF">
        <w:t xml:space="preserve">and </w:t>
      </w:r>
      <w:r w:rsidR="00D425BF" w:rsidRPr="0036167E">
        <w:t>chains. Primary producers, producer groups, processors, wholesa</w:t>
      </w:r>
      <w:r w:rsidR="00D425BF" w:rsidRPr="0036167E">
        <w:t>l</w:t>
      </w:r>
      <w:r w:rsidR="00D425BF" w:rsidRPr="0036167E">
        <w:t xml:space="preserve">ers, retailers, integrated chain and regional concepts were selected. In terms of legal forms, the cases </w:t>
      </w:r>
      <w:proofErr w:type="gramStart"/>
      <w:r w:rsidR="00D425BF" w:rsidRPr="0036167E">
        <w:t>range</w:t>
      </w:r>
      <w:proofErr w:type="gramEnd"/>
      <w:r w:rsidR="00D425BF" w:rsidRPr="0036167E">
        <w:t xml:space="preserve"> from family businesses to producer and/or consumer cooperatives or associations. Key selection criteria was firstly to be considered mid-scale in their respective countries, and secondly to have exper</w:t>
      </w:r>
      <w:r w:rsidR="00D425BF" w:rsidRPr="0036167E">
        <w:t>i</w:t>
      </w:r>
      <w:r w:rsidR="00D425BF" w:rsidRPr="0036167E">
        <w:t>enced a period of substantial growth (in terms of volumes, turnover, etc.). The cases differ</w:t>
      </w:r>
      <w:r w:rsidR="002248B5">
        <w:t xml:space="preserve"> in the degree of professionaliz</w:t>
      </w:r>
      <w:r w:rsidR="00D425BF" w:rsidRPr="0036167E">
        <w:t>ation of the management.</w:t>
      </w:r>
      <w:r w:rsidR="00D425BF">
        <w:t xml:space="preserve"> </w:t>
      </w:r>
      <w:r w:rsidR="00D425BF" w:rsidRPr="0036167E">
        <w:t>Overall, they provide a rich picture of mid-scale organic value chains.</w:t>
      </w:r>
    </w:p>
    <w:p w14:paraId="29E362A2" w14:textId="3713738D" w:rsidR="001A6419" w:rsidRDefault="009F578A" w:rsidP="001A6419">
      <w:pPr>
        <w:pStyle w:val="Normaltext"/>
        <w:tabs>
          <w:tab w:val="left" w:pos="240"/>
        </w:tabs>
      </w:pPr>
      <w:r>
        <w:tab/>
      </w:r>
      <w:r w:rsidR="0036167E">
        <w:t>The</w:t>
      </w:r>
      <w:r w:rsidR="000F4DAD">
        <w:t xml:space="preserve">y </w:t>
      </w:r>
      <w:r w:rsidR="0036167E">
        <w:t>are part of the Core Organic II project ‘HealthyGrowth – From Niche to Volume with Inte</w:t>
      </w:r>
      <w:r w:rsidR="0036167E">
        <w:t>g</w:t>
      </w:r>
      <w:r w:rsidR="0036167E">
        <w:t xml:space="preserve">rity and Trust’. National project teams in </w:t>
      </w:r>
      <w:r w:rsidR="0036167E" w:rsidRPr="0036167E">
        <w:t>10</w:t>
      </w:r>
      <w:r w:rsidR="0036167E">
        <w:t xml:space="preserve"> cou</w:t>
      </w:r>
      <w:r w:rsidR="0036167E">
        <w:t>n</w:t>
      </w:r>
      <w:r w:rsidR="0036167E">
        <w:t xml:space="preserve">tries </w:t>
      </w:r>
      <w:r w:rsidR="00D425BF">
        <w:t>cond</w:t>
      </w:r>
      <w:bookmarkStart w:id="0" w:name="_GoBack"/>
      <w:bookmarkEnd w:id="0"/>
      <w:r w:rsidR="00D425BF">
        <w:t xml:space="preserve">ucted semi-structured interviews with representatives of the cases, </w:t>
      </w:r>
      <w:r w:rsidR="0036167E">
        <w:t>us</w:t>
      </w:r>
      <w:r w:rsidR="00D425BF">
        <w:t>ing a common inte</w:t>
      </w:r>
      <w:r w:rsidR="00D425BF">
        <w:t>r</w:t>
      </w:r>
      <w:r w:rsidR="00D425BF">
        <w:t xml:space="preserve">view </w:t>
      </w:r>
      <w:r w:rsidR="0036167E">
        <w:t xml:space="preserve">guideline. Their case study reports are based on the interviews and </w:t>
      </w:r>
      <w:r w:rsidR="00961784">
        <w:t xml:space="preserve">secondary data such as </w:t>
      </w:r>
      <w:r w:rsidR="0036167E">
        <w:t xml:space="preserve">such as business documents, </w:t>
      </w:r>
      <w:r w:rsidR="00D425BF">
        <w:t>Web</w:t>
      </w:r>
      <w:r w:rsidR="0036167E">
        <w:t>pages, newspaper art</w:t>
      </w:r>
      <w:r w:rsidR="0036167E">
        <w:t>i</w:t>
      </w:r>
      <w:r w:rsidR="0036167E">
        <w:t>cles (</w:t>
      </w:r>
      <w:hyperlink r:id="rId12" w:history="1">
        <w:r w:rsidRPr="002248B5">
          <w:t>www.healthygrowth.eu</w:t>
        </w:r>
      </w:hyperlink>
      <w:r w:rsidR="0036167E">
        <w:t>).</w:t>
      </w:r>
    </w:p>
    <w:p w14:paraId="7078D4AA" w14:textId="77777777" w:rsidR="00DF2AD1" w:rsidRPr="00DF2AD1" w:rsidRDefault="00DF2AD1" w:rsidP="00DF2AD1">
      <w:pPr>
        <w:pStyle w:val="Normaltext"/>
        <w:rPr>
          <w:sz w:val="12"/>
          <w:szCs w:val="12"/>
        </w:rPr>
      </w:pPr>
    </w:p>
    <w:p w14:paraId="129355D9" w14:textId="4283379B" w:rsidR="001A6419" w:rsidRDefault="0036167E" w:rsidP="001A6419">
      <w:pPr>
        <w:pStyle w:val="berschrift11"/>
      </w:pPr>
      <w:r>
        <w:t>strategies, instruments and business logic</w:t>
      </w:r>
    </w:p>
    <w:p w14:paraId="39511C15" w14:textId="0A042753" w:rsidR="001A6419" w:rsidRPr="00BF3817" w:rsidRDefault="0036167E" w:rsidP="001A6419">
      <w:pPr>
        <w:pStyle w:val="Normaltext"/>
        <w:tabs>
          <w:tab w:val="left" w:pos="240"/>
        </w:tabs>
        <w:rPr>
          <w:i/>
          <w:iCs/>
        </w:rPr>
      </w:pPr>
      <w:r>
        <w:rPr>
          <w:i/>
          <w:iCs/>
        </w:rPr>
        <w:t>Business strategies and management instruments</w:t>
      </w:r>
    </w:p>
    <w:p w14:paraId="587159AF" w14:textId="3415A19C" w:rsidR="00F86394" w:rsidRDefault="009F578A" w:rsidP="001A6419">
      <w:pPr>
        <w:pStyle w:val="Normaltext"/>
        <w:tabs>
          <w:tab w:val="left" w:pos="240"/>
        </w:tabs>
      </w:pPr>
      <w:r>
        <w:t xml:space="preserve">On </w:t>
      </w:r>
      <w:r w:rsidR="00761424" w:rsidRPr="00761424">
        <w:t>their trajectories, all businesses, initiatives or value chains are dri</w:t>
      </w:r>
      <w:r w:rsidR="005F6E8D">
        <w:t>ven by strategic planning. The</w:t>
      </w:r>
      <w:r w:rsidR="00761424" w:rsidRPr="00761424">
        <w:t xml:space="preserve"> </w:t>
      </w:r>
      <w:r w:rsidR="00761424" w:rsidRPr="00761424">
        <w:lastRenderedPageBreak/>
        <w:t xml:space="preserve">strategies are </w:t>
      </w:r>
      <w:r w:rsidR="00761424">
        <w:t xml:space="preserve">not </w:t>
      </w:r>
      <w:r w:rsidR="00A34A25">
        <w:t xml:space="preserve">necessarily </w:t>
      </w:r>
      <w:r w:rsidR="00761424">
        <w:t xml:space="preserve">written but </w:t>
      </w:r>
      <w:r w:rsidR="00761424" w:rsidRPr="00761424">
        <w:t xml:space="preserve">only </w:t>
      </w:r>
      <w:r w:rsidR="00761424">
        <w:t>pr</w:t>
      </w:r>
      <w:r w:rsidR="00761424">
        <w:t>e</w:t>
      </w:r>
      <w:r w:rsidR="00761424">
        <w:t xml:space="preserve">sent </w:t>
      </w:r>
      <w:r w:rsidR="00761424" w:rsidRPr="00761424">
        <w:t>in the common understanding of the manag</w:t>
      </w:r>
      <w:r w:rsidR="00761424" w:rsidRPr="00761424">
        <w:t>e</w:t>
      </w:r>
      <w:r w:rsidR="00761424" w:rsidRPr="00761424">
        <w:t>ment team</w:t>
      </w:r>
      <w:r w:rsidR="00761424">
        <w:t xml:space="preserve">; other strategies are </w:t>
      </w:r>
      <w:r w:rsidR="00761424" w:rsidRPr="00761424">
        <w:t xml:space="preserve">communicated explicitly </w:t>
      </w:r>
      <w:r w:rsidR="00761424">
        <w:t xml:space="preserve">e.g. </w:t>
      </w:r>
      <w:r w:rsidR="005F6E8D">
        <w:t xml:space="preserve">the </w:t>
      </w:r>
      <w:r w:rsidR="00761424">
        <w:t xml:space="preserve">sustainability </w:t>
      </w:r>
      <w:r w:rsidR="005F6E8D">
        <w:t xml:space="preserve">strategy on the Homepage </w:t>
      </w:r>
      <w:r w:rsidR="00761424">
        <w:t xml:space="preserve">or </w:t>
      </w:r>
      <w:r w:rsidR="005F6E8D">
        <w:t xml:space="preserve">the </w:t>
      </w:r>
      <w:r w:rsidR="00761424">
        <w:t>growth strategy in the business plan for the local bank</w:t>
      </w:r>
      <w:r w:rsidR="00761424" w:rsidRPr="00761424">
        <w:t xml:space="preserve">. </w:t>
      </w:r>
      <w:r w:rsidR="005F6E8D">
        <w:t>B</w:t>
      </w:r>
      <w:r w:rsidR="005F6E8D" w:rsidRPr="00761424">
        <w:t>usiness strate</w:t>
      </w:r>
      <w:r w:rsidR="005F6E8D">
        <w:t>gies</w:t>
      </w:r>
      <w:r w:rsidR="005F6E8D" w:rsidRPr="00761424">
        <w:t xml:space="preserve"> </w:t>
      </w:r>
      <w:r w:rsidR="005F6E8D">
        <w:t xml:space="preserve">taking </w:t>
      </w:r>
      <w:r w:rsidR="005F6E8D" w:rsidRPr="00761424">
        <w:t>internal and external business environments into account</w:t>
      </w:r>
      <w:r w:rsidR="005F6E8D">
        <w:t xml:space="preserve"> are</w:t>
      </w:r>
      <w:r w:rsidR="00761424">
        <w:t xml:space="preserve"> central</w:t>
      </w:r>
      <w:r w:rsidR="00F86394">
        <w:t xml:space="preserve"> </w:t>
      </w:r>
      <w:r w:rsidR="00A34A25">
        <w:t xml:space="preserve">for </w:t>
      </w:r>
      <w:r w:rsidR="005F6E8D">
        <w:t xml:space="preserve">a </w:t>
      </w:r>
      <w:r w:rsidR="00A34A25">
        <w:t xml:space="preserve">well-prepared </w:t>
      </w:r>
      <w:r w:rsidR="00F86394">
        <w:t>expansion</w:t>
      </w:r>
      <w:r w:rsidR="00981205">
        <w:t xml:space="preserve"> (</w:t>
      </w:r>
      <w:proofErr w:type="spellStart"/>
      <w:r w:rsidR="00981205">
        <w:t>Fueglistaller</w:t>
      </w:r>
      <w:proofErr w:type="spellEnd"/>
      <w:r w:rsidR="00D37717">
        <w:t xml:space="preserve"> 2008)</w:t>
      </w:r>
      <w:r w:rsidR="00761424" w:rsidRPr="00761424">
        <w:t xml:space="preserve">. </w:t>
      </w:r>
      <w:r w:rsidR="00F86394">
        <w:t xml:space="preserve">Moreover, </w:t>
      </w:r>
      <w:r w:rsidR="005F6E8D">
        <w:t xml:space="preserve">a </w:t>
      </w:r>
      <w:r w:rsidR="00F86394" w:rsidRPr="00F86394">
        <w:t xml:space="preserve">differentiation strategy </w:t>
      </w:r>
      <w:r w:rsidR="00F86394">
        <w:t xml:space="preserve">is </w:t>
      </w:r>
      <w:r w:rsidR="005F6E8D">
        <w:t xml:space="preserve">crucial for </w:t>
      </w:r>
      <w:r w:rsidR="00F86394">
        <w:t>most businesses/initiatives offering alternative food</w:t>
      </w:r>
      <w:r w:rsidR="005F6E8D">
        <w:t>.</w:t>
      </w:r>
      <w:r w:rsidR="00F86394">
        <w:t xml:space="preserve"> </w:t>
      </w:r>
      <w:r w:rsidR="005F6E8D">
        <w:t>T</w:t>
      </w:r>
      <w:r w:rsidR="00F86394">
        <w:t>hey aim</w:t>
      </w:r>
      <w:r w:rsidR="00F86394" w:rsidRPr="00F86394">
        <w:t xml:space="preserve"> at gaining cu</w:t>
      </w:r>
      <w:r w:rsidR="00F86394" w:rsidRPr="00F86394">
        <w:t>s</w:t>
      </w:r>
      <w:r w:rsidR="00F86394" w:rsidRPr="00F86394">
        <w:t xml:space="preserve">tomers with value-adding features such as </w:t>
      </w:r>
      <w:r w:rsidR="00F86394">
        <w:t xml:space="preserve">organic, ‘free from…’ </w:t>
      </w:r>
      <w:r w:rsidR="00F86394" w:rsidRPr="00F86394">
        <w:t>or region</w:t>
      </w:r>
      <w:r w:rsidR="003F5347">
        <w:t>al.</w:t>
      </w:r>
    </w:p>
    <w:p w14:paraId="134F0CDC" w14:textId="033696B6" w:rsidR="001A6419" w:rsidRDefault="00251A66" w:rsidP="001A6419">
      <w:pPr>
        <w:pStyle w:val="Normaltext"/>
        <w:tabs>
          <w:tab w:val="left" w:pos="240"/>
        </w:tabs>
      </w:pPr>
      <w:r>
        <w:tab/>
      </w:r>
      <w:r w:rsidR="00F86394">
        <w:t xml:space="preserve">Each </w:t>
      </w:r>
      <w:r w:rsidR="00761424" w:rsidRPr="00761424">
        <w:t>strategy starts with the definition of long-term goals, and defines particular courses of action as well as the allocation of resources necessary for carrying out these actions. Businesses might use a combination of different strategies to achieve their goals. The formulation of the strategy involves an</w:t>
      </w:r>
      <w:r w:rsidR="00761424" w:rsidRPr="00761424">
        <w:t>a</w:t>
      </w:r>
      <w:r w:rsidR="00761424" w:rsidRPr="00761424">
        <w:t>lysing the product, customer, values, location, co</w:t>
      </w:r>
      <w:r w:rsidR="00761424" w:rsidRPr="00761424">
        <w:t>m</w:t>
      </w:r>
      <w:r w:rsidR="00761424" w:rsidRPr="00761424">
        <w:t>petitors, available skills and resources, opportunities and risks, potential to grow etc.</w:t>
      </w:r>
      <w:r w:rsidR="00805722">
        <w:t xml:space="preserve"> and therefore is directly linked to the use of instruments.</w:t>
      </w:r>
    </w:p>
    <w:p w14:paraId="04AAAB95" w14:textId="593E7154" w:rsidR="00805722" w:rsidRDefault="00805722" w:rsidP="001A6419">
      <w:pPr>
        <w:pStyle w:val="Normaltext"/>
        <w:tabs>
          <w:tab w:val="left" w:pos="240"/>
        </w:tabs>
      </w:pPr>
      <w:r>
        <w:tab/>
      </w:r>
      <w:r w:rsidR="00FE02AC" w:rsidRPr="00FE02AC">
        <w:t>The management areas ‘strategic planning’, ‘go</w:t>
      </w:r>
      <w:r w:rsidR="00FE02AC" w:rsidRPr="00FE02AC">
        <w:t>v</w:t>
      </w:r>
      <w:r w:rsidR="00FE02AC" w:rsidRPr="00FE02AC">
        <w:t xml:space="preserve">ernance’, ‘organisation’, ‘personal management’, and ‘controlling’ have a range of instruments at their disposal. </w:t>
      </w:r>
      <w:r w:rsidR="00A34A25">
        <w:t xml:space="preserve">Each </w:t>
      </w:r>
      <w:r w:rsidR="00FE02AC" w:rsidRPr="00FE02AC">
        <w:t xml:space="preserve">instrument focusses </w:t>
      </w:r>
      <w:r w:rsidR="00A34A25">
        <w:t xml:space="preserve">usually </w:t>
      </w:r>
      <w:r w:rsidR="00FE02AC" w:rsidRPr="00FE02AC">
        <w:t xml:space="preserve">on the realisation of </w:t>
      </w:r>
      <w:r w:rsidR="00A34A25">
        <w:t xml:space="preserve">a </w:t>
      </w:r>
      <w:r w:rsidR="00FE02AC">
        <w:t>particular task</w:t>
      </w:r>
      <w:r w:rsidR="00FE02AC" w:rsidRPr="00FE02AC">
        <w:t xml:space="preserve">. </w:t>
      </w:r>
      <w:r>
        <w:t>For example, indivi</w:t>
      </w:r>
      <w:r>
        <w:t>d</w:t>
      </w:r>
      <w:r>
        <w:t>ual on-farm training schemes are a powerful perso</w:t>
      </w:r>
      <w:r>
        <w:t>n</w:t>
      </w:r>
      <w:r>
        <w:t xml:space="preserve">al management </w:t>
      </w:r>
      <w:r w:rsidR="004851E8">
        <w:t xml:space="preserve">instrument </w:t>
      </w:r>
      <w:r>
        <w:t xml:space="preserve">when shop assistants </w:t>
      </w:r>
      <w:r w:rsidR="004851E8">
        <w:t>are asked to communicate</w:t>
      </w:r>
      <w:r>
        <w:t xml:space="preserve"> the quality </w:t>
      </w:r>
      <w:r w:rsidR="004851E8">
        <w:t>properties of high animal welfare and local artisanal pro</w:t>
      </w:r>
      <w:r w:rsidR="00CA0E79">
        <w:t>cessing to the customer</w:t>
      </w:r>
      <w:r w:rsidR="004851E8">
        <w:t xml:space="preserve"> </w:t>
      </w:r>
      <w:r w:rsidR="00CA0E79">
        <w:t>(Münchhausen 2015</w:t>
      </w:r>
      <w:r w:rsidR="00981205">
        <w:t>a</w:t>
      </w:r>
      <w:r w:rsidR="00F50F7C">
        <w:t>)</w:t>
      </w:r>
      <w:r w:rsidR="00CA0E79">
        <w:t>.</w:t>
      </w:r>
      <w:r w:rsidR="00F50F7C">
        <w:t xml:space="preserve"> </w:t>
      </w:r>
      <w:r w:rsidR="00251A66">
        <w:t>Or, t</w:t>
      </w:r>
      <w:r w:rsidR="004851E8">
        <w:t xml:space="preserve">he instrument of laboratory testing </w:t>
      </w:r>
      <w:r w:rsidR="00251A66">
        <w:t>at all stages of the grain supply chain helps with quality insurance for mill</w:t>
      </w:r>
      <w:r w:rsidR="00F50F7C">
        <w:t>s</w:t>
      </w:r>
      <w:r w:rsidR="00251A66">
        <w:t xml:space="preserve"> and ba</w:t>
      </w:r>
      <w:r w:rsidR="00251A66">
        <w:t>k</w:t>
      </w:r>
      <w:r w:rsidR="00251A66">
        <w:t xml:space="preserve">eries </w:t>
      </w:r>
      <w:r w:rsidR="00F50F7C">
        <w:t xml:space="preserve">and </w:t>
      </w:r>
      <w:r w:rsidR="00251A66">
        <w:t>can drive quality-related price neg</w:t>
      </w:r>
      <w:r w:rsidR="00F50F7C">
        <w:t>o</w:t>
      </w:r>
      <w:r w:rsidR="00251A66">
        <w:t>ti</w:t>
      </w:r>
      <w:r w:rsidR="00F50F7C">
        <w:t>ati</w:t>
      </w:r>
      <w:r w:rsidR="00251A66">
        <w:t>ons</w:t>
      </w:r>
      <w:r w:rsidR="00F50F7C" w:rsidRPr="00F50F7C">
        <w:t xml:space="preserve"> </w:t>
      </w:r>
      <w:r w:rsidR="00F50F7C">
        <w:t>(Mün</w:t>
      </w:r>
      <w:r w:rsidR="00CA0E79">
        <w:t>chhausen 2014</w:t>
      </w:r>
      <w:r w:rsidR="00981205">
        <w:t>b</w:t>
      </w:r>
      <w:r w:rsidR="00F50F7C">
        <w:t>)</w:t>
      </w:r>
      <w:r w:rsidR="00CA0E79">
        <w:t>.</w:t>
      </w:r>
    </w:p>
    <w:p w14:paraId="3D62FE00" w14:textId="77777777" w:rsidR="003F5347" w:rsidRPr="00DF2AD1" w:rsidRDefault="003F5347" w:rsidP="003F5347">
      <w:pPr>
        <w:pStyle w:val="Normaltext"/>
        <w:rPr>
          <w:sz w:val="12"/>
          <w:szCs w:val="12"/>
        </w:rPr>
      </w:pPr>
    </w:p>
    <w:p w14:paraId="5AAD09CB" w14:textId="0419A144" w:rsidR="001A6419" w:rsidRPr="0042601B" w:rsidRDefault="00FE02AC" w:rsidP="001A6419">
      <w:pPr>
        <w:pStyle w:val="Normaltext"/>
        <w:tabs>
          <w:tab w:val="left" w:pos="240"/>
        </w:tabs>
        <w:rPr>
          <w:i/>
        </w:rPr>
      </w:pPr>
      <w:r>
        <w:rPr>
          <w:i/>
        </w:rPr>
        <w:t>Identification of business logic and its role</w:t>
      </w:r>
    </w:p>
    <w:p w14:paraId="183196C7" w14:textId="598C132B" w:rsidR="009A5AF6" w:rsidRDefault="00251A66" w:rsidP="001A6419">
      <w:pPr>
        <w:pStyle w:val="Normaltext"/>
        <w:tabs>
          <w:tab w:val="left" w:pos="240"/>
        </w:tabs>
      </w:pPr>
      <w:r w:rsidRPr="00FE02AC">
        <w:t xml:space="preserve">The </w:t>
      </w:r>
      <w:r w:rsidR="00FF2292">
        <w:t>analysis shows that the business logic concept supports the identification</w:t>
      </w:r>
      <w:r w:rsidR="00FF2292" w:rsidRPr="00FF2292">
        <w:t xml:space="preserve"> </w:t>
      </w:r>
      <w:r w:rsidR="00FF2292">
        <w:t xml:space="preserve">of </w:t>
      </w:r>
      <w:r w:rsidR="002D0964">
        <w:t>strategies and instr</w:t>
      </w:r>
      <w:r w:rsidR="002D0964">
        <w:t>u</w:t>
      </w:r>
      <w:r w:rsidR="002D0964">
        <w:t>ments and their particular relevance and effectiv</w:t>
      </w:r>
      <w:r w:rsidR="002D0964">
        <w:t>e</w:t>
      </w:r>
      <w:r w:rsidR="002D0964">
        <w:t xml:space="preserve">ness for the realisation of </w:t>
      </w:r>
      <w:r w:rsidR="008D72CE">
        <w:t>goals</w:t>
      </w:r>
      <w:r w:rsidR="00FF2292">
        <w:t xml:space="preserve">. </w:t>
      </w:r>
      <w:r w:rsidRPr="00805722">
        <w:t>In the retrospe</w:t>
      </w:r>
      <w:r w:rsidRPr="00805722">
        <w:t>c</w:t>
      </w:r>
      <w:r w:rsidRPr="00805722">
        <w:t xml:space="preserve">tive, some stakeholders realise that problems could have been solved faster and more effectively if a competent management or coaching and training schemes for </w:t>
      </w:r>
      <w:r>
        <w:t xml:space="preserve">e.g. </w:t>
      </w:r>
      <w:r w:rsidRPr="00805722">
        <w:t xml:space="preserve">organic food </w:t>
      </w:r>
      <w:r w:rsidR="00FF2292">
        <w:t xml:space="preserve">business </w:t>
      </w:r>
      <w:r w:rsidRPr="00805722">
        <w:t xml:space="preserve">managers would have been available. </w:t>
      </w:r>
      <w:r w:rsidR="00FF2292">
        <w:t xml:space="preserve">Moreover, </w:t>
      </w:r>
      <w:r w:rsidR="00FE02AC" w:rsidRPr="00FE02AC">
        <w:t xml:space="preserve">the </w:t>
      </w:r>
      <w:r w:rsidR="00AC1A5A">
        <w:t xml:space="preserve">study points out </w:t>
      </w:r>
      <w:r w:rsidR="00FE02AC" w:rsidRPr="00FE02AC">
        <w:t>business areas or strategic processes with gaps in business logic</w:t>
      </w:r>
      <w:r w:rsidR="00AC1A5A">
        <w:t xml:space="preserve"> consistency</w:t>
      </w:r>
      <w:r w:rsidR="00FE02AC" w:rsidRPr="00FE02AC">
        <w:t xml:space="preserve">. </w:t>
      </w:r>
      <w:r w:rsidR="002C042C">
        <w:t xml:space="preserve">For example, a processors applies a </w:t>
      </w:r>
      <w:r w:rsidR="004C016C">
        <w:t xml:space="preserve">set </w:t>
      </w:r>
      <w:r w:rsidR="002C042C">
        <w:t xml:space="preserve">of instruments helping to minimise food additives but puts less emphasis on the transmission of such ‘pureness’ and ‘free from…’ quality aspects through the chain. </w:t>
      </w:r>
      <w:r w:rsidR="00AC1A5A">
        <w:t>Such an ‘</w:t>
      </w:r>
      <w:r w:rsidR="002C042C">
        <w:t>imba</w:t>
      </w:r>
      <w:r w:rsidR="002C042C">
        <w:t>l</w:t>
      </w:r>
      <w:r w:rsidR="002C042C">
        <w:t>ance</w:t>
      </w:r>
      <w:r w:rsidR="00AC1A5A">
        <w:t>’</w:t>
      </w:r>
      <w:r w:rsidR="002C042C">
        <w:t xml:space="preserve"> between instruments supporting the same strategy </w:t>
      </w:r>
      <w:r w:rsidR="00FE02AC" w:rsidRPr="00FE02AC">
        <w:t xml:space="preserve">might be </w:t>
      </w:r>
      <w:r w:rsidR="009A5AF6">
        <w:t xml:space="preserve">a </w:t>
      </w:r>
      <w:r w:rsidR="00FE02AC" w:rsidRPr="00FE02AC">
        <w:t>potential risk</w:t>
      </w:r>
      <w:r w:rsidR="00DF2AD1">
        <w:t xml:space="preserve"> in respect to end-use communication</w:t>
      </w:r>
      <w:r w:rsidR="00FE02AC" w:rsidRPr="00FE02AC">
        <w:t xml:space="preserve">. </w:t>
      </w:r>
    </w:p>
    <w:p w14:paraId="1A53281D" w14:textId="34B23C30" w:rsidR="00251A66" w:rsidRDefault="009A5AF6" w:rsidP="00251A66">
      <w:pPr>
        <w:pStyle w:val="Normaltext"/>
        <w:tabs>
          <w:tab w:val="left" w:pos="240"/>
        </w:tabs>
      </w:pPr>
      <w:r>
        <w:tab/>
        <w:t xml:space="preserve">If </w:t>
      </w:r>
      <w:r w:rsidR="00FE02AC" w:rsidRPr="00FE02AC">
        <w:t xml:space="preserve">the business logic is in place, it </w:t>
      </w:r>
      <w:r>
        <w:t xml:space="preserve">normally </w:t>
      </w:r>
      <w:r w:rsidR="00FE02AC" w:rsidRPr="00FE02AC">
        <w:t>e</w:t>
      </w:r>
      <w:r w:rsidR="00FE02AC" w:rsidRPr="00FE02AC">
        <w:t>n</w:t>
      </w:r>
      <w:r w:rsidR="00FE02AC" w:rsidRPr="00FE02AC">
        <w:t xml:space="preserve">sures </w:t>
      </w:r>
      <w:r>
        <w:t xml:space="preserve">an </w:t>
      </w:r>
      <w:r w:rsidR="00FE02AC" w:rsidRPr="00FE02AC">
        <w:t>effective value transmission</w:t>
      </w:r>
      <w:r>
        <w:t xml:space="preserve"> even under condition</w:t>
      </w:r>
      <w:r w:rsidR="00AC1A5A">
        <w:t>s</w:t>
      </w:r>
      <w:r>
        <w:t xml:space="preserve"> of rapid growth.</w:t>
      </w:r>
      <w:r w:rsidR="00FE02AC" w:rsidRPr="00FE02AC">
        <w:t xml:space="preserve"> However, particular qua</w:t>
      </w:r>
      <w:r w:rsidR="00FE02AC" w:rsidRPr="00FE02AC">
        <w:t>l</w:t>
      </w:r>
      <w:r w:rsidR="00FE02AC" w:rsidRPr="00FE02AC">
        <w:t>ity attributes can get lo</w:t>
      </w:r>
      <w:r w:rsidR="008E3129">
        <w:t xml:space="preserve">st when </w:t>
      </w:r>
      <w:r w:rsidR="00AC1A5A">
        <w:t xml:space="preserve">e.g. </w:t>
      </w:r>
      <w:r w:rsidR="008E3129">
        <w:t>expanding i</w:t>
      </w:r>
      <w:r w:rsidR="008E3129">
        <w:t>n</w:t>
      </w:r>
      <w:r w:rsidR="008E3129">
        <w:lastRenderedPageBreak/>
        <w:t>termediates such as</w:t>
      </w:r>
      <w:r w:rsidR="00FE02AC" w:rsidRPr="00FE02AC">
        <w:t xml:space="preserve"> </w:t>
      </w:r>
      <w:r>
        <w:t>dair</w:t>
      </w:r>
      <w:r w:rsidR="00AC1A5A">
        <w:t>ies</w:t>
      </w:r>
      <w:r w:rsidR="003F5347">
        <w:t xml:space="preserve"> or</w:t>
      </w:r>
      <w:r>
        <w:t xml:space="preserve"> </w:t>
      </w:r>
      <w:r w:rsidR="00AC1A5A">
        <w:t>abattoirs</w:t>
      </w:r>
      <w:r w:rsidR="00FE02AC" w:rsidRPr="00FE02AC">
        <w:t xml:space="preserve"> </w:t>
      </w:r>
      <w:r w:rsidR="008E3129">
        <w:t xml:space="preserve">distribute </w:t>
      </w:r>
      <w:r w:rsidR="00FE02AC" w:rsidRPr="00FE02AC">
        <w:t xml:space="preserve">lots to traders who do not share the same business logic. </w:t>
      </w:r>
      <w:r w:rsidR="003F5347">
        <w:t>Hence</w:t>
      </w:r>
      <w:r>
        <w:t xml:space="preserve">, </w:t>
      </w:r>
      <w:r w:rsidR="00FD1735">
        <w:t xml:space="preserve">the </w:t>
      </w:r>
      <w:r w:rsidR="008E3129">
        <w:t xml:space="preserve">business </w:t>
      </w:r>
      <w:r w:rsidR="00FD1735">
        <w:t xml:space="preserve">either </w:t>
      </w:r>
      <w:r w:rsidR="00BA21D7">
        <w:t xml:space="preserve">uses </w:t>
      </w:r>
      <w:r w:rsidR="008E3129">
        <w:t>an</w:t>
      </w:r>
      <w:r w:rsidR="00FD1735">
        <w:t xml:space="preserve">other </w:t>
      </w:r>
      <w:r w:rsidR="008E3129">
        <w:t xml:space="preserve">well-reflected </w:t>
      </w:r>
      <w:r w:rsidR="00FD1735">
        <w:t>strate</w:t>
      </w:r>
      <w:r w:rsidR="008E3129">
        <w:t>gy, e.g.</w:t>
      </w:r>
      <w:r w:rsidR="00FD1735">
        <w:t xml:space="preserve"> </w:t>
      </w:r>
      <w:r w:rsidR="00BA21D7">
        <w:t xml:space="preserve">a </w:t>
      </w:r>
      <w:r w:rsidR="00FD1735">
        <w:t>cost reduction strategy implemented by the instrument of increasing capac</w:t>
      </w:r>
      <w:r w:rsidR="00FD1735">
        <w:t>i</w:t>
      </w:r>
      <w:r w:rsidR="00FD1735">
        <w:t>ty utilization</w:t>
      </w:r>
      <w:r w:rsidR="008E3129">
        <w:t>, or the i</w:t>
      </w:r>
      <w:r w:rsidR="00FD1735">
        <w:t>dentifi</w:t>
      </w:r>
      <w:r w:rsidR="008E3129">
        <w:t>cation of the</w:t>
      </w:r>
      <w:r w:rsidR="00FD1735">
        <w:t xml:space="preserve"> incon</w:t>
      </w:r>
      <w:r w:rsidR="008E3129">
        <w:t>siste</w:t>
      </w:r>
      <w:r w:rsidR="008E3129">
        <w:t>n</w:t>
      </w:r>
      <w:r w:rsidR="008E3129">
        <w:t xml:space="preserve">cy </w:t>
      </w:r>
      <w:r w:rsidR="00BA21D7">
        <w:t xml:space="preserve">serves as </w:t>
      </w:r>
      <w:r w:rsidR="008E3129">
        <w:t xml:space="preserve">starting point for an improved </w:t>
      </w:r>
      <w:r>
        <w:t>cooper</w:t>
      </w:r>
      <w:r>
        <w:t>a</w:t>
      </w:r>
      <w:r>
        <w:t xml:space="preserve">tion </w:t>
      </w:r>
      <w:r w:rsidR="00BA21D7">
        <w:t xml:space="preserve">for the </w:t>
      </w:r>
      <w:r w:rsidR="00FD1735">
        <w:t>enlarge</w:t>
      </w:r>
      <w:r w:rsidR="00BA21D7">
        <w:t>ment</w:t>
      </w:r>
      <w:r w:rsidR="00FD1735">
        <w:t xml:space="preserve"> </w:t>
      </w:r>
      <w:r w:rsidR="00BA21D7">
        <w:t xml:space="preserve">of </w:t>
      </w:r>
      <w:r w:rsidR="00FD1735">
        <w:t xml:space="preserve">the </w:t>
      </w:r>
      <w:r w:rsidR="00BA21D7">
        <w:t xml:space="preserve">values-based </w:t>
      </w:r>
      <w:r w:rsidR="00FD1735">
        <w:t>bus</w:t>
      </w:r>
      <w:r w:rsidR="00FD1735">
        <w:t>i</w:t>
      </w:r>
      <w:r w:rsidR="00FD1735">
        <w:t xml:space="preserve">ness logic </w:t>
      </w:r>
      <w:r w:rsidR="008E3129">
        <w:t xml:space="preserve">towards </w:t>
      </w:r>
      <w:r w:rsidR="00FD1735">
        <w:t xml:space="preserve">the particular </w:t>
      </w:r>
      <w:r w:rsidR="008E3129">
        <w:t xml:space="preserve">marketing </w:t>
      </w:r>
      <w:r w:rsidR="00FD1735">
        <w:t>channel.</w:t>
      </w:r>
      <w:r w:rsidR="00944EE2">
        <w:t xml:space="preserve"> </w:t>
      </w:r>
    </w:p>
    <w:p w14:paraId="01787F1B" w14:textId="77777777" w:rsidR="007E4E73" w:rsidRPr="007E4E73" w:rsidRDefault="007E4E73" w:rsidP="007E4E73">
      <w:pPr>
        <w:pStyle w:val="Normaltext"/>
        <w:tabs>
          <w:tab w:val="left" w:pos="240"/>
        </w:tabs>
        <w:spacing w:after="60" w:line="240" w:lineRule="auto"/>
        <w:rPr>
          <w:sz w:val="10"/>
          <w:szCs w:val="10"/>
        </w:rPr>
      </w:pPr>
    </w:p>
    <w:p w14:paraId="405B10B2" w14:textId="77777777" w:rsidR="001A6419" w:rsidRDefault="001A6419" w:rsidP="001A6419">
      <w:pPr>
        <w:pStyle w:val="berschrift11"/>
      </w:pPr>
      <w:r>
        <w:t>Discussion</w:t>
      </w:r>
    </w:p>
    <w:p w14:paraId="4878FD49" w14:textId="1B29F613" w:rsidR="007E4E73" w:rsidRDefault="00FE02AC" w:rsidP="001A6419">
      <w:pPr>
        <w:pStyle w:val="Normaltext"/>
        <w:tabs>
          <w:tab w:val="left" w:pos="240"/>
        </w:tabs>
        <w:spacing w:after="60"/>
      </w:pPr>
      <w:r w:rsidRPr="00FE02AC">
        <w:t xml:space="preserve">All explored cases implemented </w:t>
      </w:r>
      <w:r w:rsidR="00B953FC">
        <w:t xml:space="preserve">strategies and </w:t>
      </w:r>
      <w:r w:rsidRPr="00FE02AC">
        <w:t xml:space="preserve">a set of well-working management tools suitable for the realisation of </w:t>
      </w:r>
      <w:r w:rsidR="00B953FC">
        <w:t xml:space="preserve">the business </w:t>
      </w:r>
      <w:r w:rsidRPr="00FE02AC">
        <w:t xml:space="preserve">goals. </w:t>
      </w:r>
      <w:r w:rsidR="00BA21D7">
        <w:t>S</w:t>
      </w:r>
      <w:r w:rsidR="00CF3B0C">
        <w:t>ome case studies</w:t>
      </w:r>
      <w:r w:rsidR="00BA21D7" w:rsidRPr="00FE02AC">
        <w:t xml:space="preserve"> </w:t>
      </w:r>
      <w:r w:rsidR="00CF3B0C">
        <w:t xml:space="preserve">show </w:t>
      </w:r>
      <w:r w:rsidR="00BA21D7" w:rsidRPr="00FE02AC">
        <w:t>that manage</w:t>
      </w:r>
      <w:r w:rsidR="00BA21D7">
        <w:t>rs</w:t>
      </w:r>
      <w:r w:rsidR="00BA21D7" w:rsidRPr="00FE02AC">
        <w:t xml:space="preserve"> only realised significant pro</w:t>
      </w:r>
      <w:r w:rsidR="00BA21D7" w:rsidRPr="00FE02AC">
        <w:t>b</w:t>
      </w:r>
      <w:r w:rsidR="00BA21D7" w:rsidRPr="00FE02AC">
        <w:t xml:space="preserve">lems </w:t>
      </w:r>
      <w:r w:rsidR="00BA21D7">
        <w:t xml:space="preserve">with </w:t>
      </w:r>
      <w:r w:rsidR="00BA21D7" w:rsidRPr="00FE02AC">
        <w:t>strategies or instrument</w:t>
      </w:r>
      <w:r w:rsidR="00BA21D7">
        <w:t>s</w:t>
      </w:r>
      <w:r w:rsidR="00BA21D7" w:rsidRPr="00FE02AC">
        <w:t xml:space="preserve"> </w:t>
      </w:r>
      <w:r w:rsidR="00BA21D7">
        <w:t>when they r</w:t>
      </w:r>
      <w:r w:rsidR="00BA21D7">
        <w:t>e</w:t>
      </w:r>
      <w:r w:rsidR="00BA21D7">
        <w:t>flected</w:t>
      </w:r>
      <w:r w:rsidR="00B953FC">
        <w:t>, e.g. supported by the business logic co</w:t>
      </w:r>
      <w:r w:rsidR="00B953FC">
        <w:t>n</w:t>
      </w:r>
      <w:r w:rsidR="00B953FC">
        <w:t>cept,</w:t>
      </w:r>
      <w:r w:rsidR="00BA21D7">
        <w:t xml:space="preserve"> on a </w:t>
      </w:r>
      <w:r w:rsidR="00B953FC">
        <w:t xml:space="preserve">former </w:t>
      </w:r>
      <w:r w:rsidR="00BA21D7">
        <w:t xml:space="preserve">development phase </w:t>
      </w:r>
      <w:r w:rsidR="00B953FC">
        <w:t>of their bus</w:t>
      </w:r>
      <w:r w:rsidR="00B953FC">
        <w:t>i</w:t>
      </w:r>
      <w:r w:rsidR="00B953FC">
        <w:t>ness/initiative</w:t>
      </w:r>
      <w:r w:rsidR="00BA21D7">
        <w:t xml:space="preserve">. </w:t>
      </w:r>
      <w:r w:rsidR="00B953FC">
        <w:t xml:space="preserve">Other interviews show that </w:t>
      </w:r>
      <w:r w:rsidRPr="00FE02AC">
        <w:t>busines</w:t>
      </w:r>
      <w:r w:rsidRPr="00FE02AC">
        <w:t>s</w:t>
      </w:r>
      <w:r w:rsidRPr="00FE02AC">
        <w:t xml:space="preserve">es/initiatives </w:t>
      </w:r>
      <w:r w:rsidR="00B953FC">
        <w:t xml:space="preserve">are </w:t>
      </w:r>
      <w:r w:rsidRPr="00FE02AC">
        <w:t>aware of strategies, instruments or management areas that need adjustments or reo</w:t>
      </w:r>
      <w:r w:rsidRPr="00FE02AC">
        <w:t>r</w:t>
      </w:r>
      <w:r w:rsidRPr="00FE02AC">
        <w:t xml:space="preserve">ganisation but – for different reasons – have not yet been able to implement changes. </w:t>
      </w:r>
      <w:r w:rsidR="00B953FC">
        <w:t xml:space="preserve">When </w:t>
      </w:r>
      <w:r w:rsidR="00B953FC" w:rsidRPr="00FE02AC">
        <w:t>cases face development deficits</w:t>
      </w:r>
      <w:r w:rsidR="00B953FC">
        <w:t>, they</w:t>
      </w:r>
      <w:r w:rsidR="00B953FC" w:rsidRPr="00FE02AC">
        <w:t xml:space="preserve"> </w:t>
      </w:r>
      <w:r w:rsidR="00B953FC">
        <w:t xml:space="preserve">usually </w:t>
      </w:r>
      <w:r w:rsidR="00B953FC" w:rsidRPr="00FE02AC">
        <w:t>impact on the</w:t>
      </w:r>
      <w:r w:rsidR="00B953FC">
        <w:t xml:space="preserve"> business logic</w:t>
      </w:r>
      <w:r w:rsidR="00CF3B0C">
        <w:t>; and vice versa, the business logic analysis ca</w:t>
      </w:r>
      <w:r w:rsidR="002858E5">
        <w:t>n</w:t>
      </w:r>
      <w:r w:rsidR="00CF3B0C">
        <w:t xml:space="preserve"> help to identify the deficits.</w:t>
      </w:r>
    </w:p>
    <w:p w14:paraId="768E4D15" w14:textId="77777777" w:rsidR="007E4E73" w:rsidRPr="007E4E73" w:rsidRDefault="007E4E73" w:rsidP="007E4E73">
      <w:pPr>
        <w:pStyle w:val="Normaltext"/>
        <w:tabs>
          <w:tab w:val="left" w:pos="240"/>
        </w:tabs>
        <w:spacing w:after="60" w:line="240" w:lineRule="auto"/>
        <w:rPr>
          <w:sz w:val="10"/>
          <w:szCs w:val="10"/>
        </w:rPr>
      </w:pPr>
    </w:p>
    <w:p w14:paraId="7EE4CDFE" w14:textId="77777777" w:rsidR="001A6419" w:rsidRPr="00BF3817" w:rsidRDefault="001A6419" w:rsidP="001A6419">
      <w:pPr>
        <w:pStyle w:val="berschrift11"/>
      </w:pPr>
      <w:r>
        <w:t>Conclusions</w:t>
      </w:r>
    </w:p>
    <w:p w14:paraId="1AE5DD3E" w14:textId="18F68772" w:rsidR="00944EE2" w:rsidRDefault="00CF3B0C" w:rsidP="00944EE2">
      <w:pPr>
        <w:pStyle w:val="Normaltext"/>
        <w:tabs>
          <w:tab w:val="left" w:pos="240"/>
        </w:tabs>
      </w:pPr>
      <w:r>
        <w:t xml:space="preserve">Since the management of </w:t>
      </w:r>
      <w:r w:rsidR="00FE02AC" w:rsidRPr="00FE02AC">
        <w:t>food businesses</w:t>
      </w:r>
      <w:r>
        <w:t>/</w:t>
      </w:r>
      <w:r w:rsidR="00FE02AC" w:rsidRPr="00FE02AC">
        <w:t>initiatives is challenging</w:t>
      </w:r>
      <w:r>
        <w:t>, t</w:t>
      </w:r>
      <w:r w:rsidR="00FE02AC" w:rsidRPr="00FE02AC">
        <w:t xml:space="preserve">he consistency of goals, strategies and management instruments is crucial for </w:t>
      </w:r>
      <w:r>
        <w:t xml:space="preserve">an </w:t>
      </w:r>
      <w:r w:rsidR="00FE02AC" w:rsidRPr="00FE02AC">
        <w:t>eff</w:t>
      </w:r>
      <w:r w:rsidR="00FE02AC" w:rsidRPr="00FE02AC">
        <w:t>i</w:t>
      </w:r>
      <w:r w:rsidR="00FE02AC" w:rsidRPr="00FE02AC">
        <w:t xml:space="preserve">cient and effective expansion pathway combined with excellent chain </w:t>
      </w:r>
      <w:r w:rsidR="003E66E8">
        <w:t>cooperation</w:t>
      </w:r>
      <w:r w:rsidR="00FE02AC" w:rsidRPr="00FE02AC">
        <w:t xml:space="preserve">. </w:t>
      </w:r>
      <w:r w:rsidR="00275E7E">
        <w:t xml:space="preserve">In many cases, </w:t>
      </w:r>
      <w:r>
        <w:t xml:space="preserve">the </w:t>
      </w:r>
      <w:r w:rsidR="00275E7E">
        <w:t xml:space="preserve">early </w:t>
      </w:r>
      <w:r>
        <w:t xml:space="preserve">enhancement </w:t>
      </w:r>
      <w:r w:rsidR="00275E7E">
        <w:t xml:space="preserve">of </w:t>
      </w:r>
      <w:r>
        <w:t xml:space="preserve">the management could </w:t>
      </w:r>
      <w:r w:rsidR="00275E7E">
        <w:t>have supported the growth process. Moreover, i</w:t>
      </w:r>
      <w:r w:rsidR="00FE02AC" w:rsidRPr="00FE02AC">
        <w:t xml:space="preserve">n-depth </w:t>
      </w:r>
      <w:r w:rsidRPr="00FE02AC">
        <w:t xml:space="preserve">business logic </w:t>
      </w:r>
      <w:r w:rsidR="00FE02AC" w:rsidRPr="00FE02AC">
        <w:t xml:space="preserve">analyses </w:t>
      </w:r>
      <w:r w:rsidR="003E66E8">
        <w:t>help</w:t>
      </w:r>
      <w:r>
        <w:t xml:space="preserve"> </w:t>
      </w:r>
      <w:r w:rsidR="003E66E8">
        <w:t xml:space="preserve">to distinguish external and internal </w:t>
      </w:r>
      <w:r w:rsidR="003E66E8" w:rsidRPr="00FE02AC">
        <w:t xml:space="preserve">success factors </w:t>
      </w:r>
      <w:r>
        <w:t>during growth. Often</w:t>
      </w:r>
      <w:r w:rsidR="00275E7E">
        <w:t xml:space="preserve"> u</w:t>
      </w:r>
      <w:r w:rsidR="00944EE2" w:rsidRPr="00805722">
        <w:t xml:space="preserve">nfavourable </w:t>
      </w:r>
      <w:r>
        <w:t xml:space="preserve">external conditions </w:t>
      </w:r>
      <w:r w:rsidR="00944EE2" w:rsidRPr="00805722">
        <w:t>hamper</w:t>
      </w:r>
      <w:r>
        <w:t xml:space="preserve"> </w:t>
      </w:r>
      <w:r w:rsidR="00944EE2" w:rsidRPr="00805722">
        <w:t>the deve</w:t>
      </w:r>
      <w:r w:rsidR="00944EE2" w:rsidRPr="00805722">
        <w:t>l</w:t>
      </w:r>
      <w:r w:rsidR="00944EE2" w:rsidRPr="00805722">
        <w:t>op</w:t>
      </w:r>
      <w:r w:rsidR="00275E7E">
        <w:t xml:space="preserve">ment. </w:t>
      </w:r>
      <w:r>
        <w:t xml:space="preserve">HealthyGrowth analyses will have to focus on them </w:t>
      </w:r>
      <w:r w:rsidR="00275E7E">
        <w:t>in the next step of the analysis.</w:t>
      </w:r>
    </w:p>
    <w:p w14:paraId="4A2DE478" w14:textId="77777777" w:rsidR="007E4E73" w:rsidRPr="007E4E73" w:rsidRDefault="007E4E73" w:rsidP="007E4E73">
      <w:pPr>
        <w:pStyle w:val="Normaltext"/>
        <w:tabs>
          <w:tab w:val="left" w:pos="240"/>
        </w:tabs>
        <w:spacing w:after="60" w:line="240" w:lineRule="auto"/>
        <w:rPr>
          <w:sz w:val="10"/>
          <w:szCs w:val="10"/>
        </w:rPr>
      </w:pPr>
    </w:p>
    <w:p w14:paraId="6BF7A463" w14:textId="3FC44323" w:rsidR="001A6419" w:rsidRPr="00D37717" w:rsidRDefault="00FE02AC" w:rsidP="001A6419">
      <w:pPr>
        <w:pStyle w:val="Normaltext"/>
        <w:rPr>
          <w:sz w:val="12"/>
          <w:szCs w:val="12"/>
        </w:rPr>
      </w:pPr>
      <w:r w:rsidRPr="00D37717">
        <w:rPr>
          <w:sz w:val="12"/>
          <w:szCs w:val="12"/>
        </w:rPr>
        <w:t>The authors acknowledge the financial support provided by the Ge</w:t>
      </w:r>
      <w:r w:rsidRPr="00D37717">
        <w:rPr>
          <w:sz w:val="12"/>
          <w:szCs w:val="12"/>
        </w:rPr>
        <w:t>r</w:t>
      </w:r>
      <w:r w:rsidRPr="00D37717">
        <w:rPr>
          <w:sz w:val="12"/>
          <w:szCs w:val="12"/>
        </w:rPr>
        <w:t xml:space="preserve">man Ministry of Food and Agriculture with the Federal Program </w:t>
      </w:r>
      <w:r w:rsidR="005F6E8D" w:rsidRPr="00D37717">
        <w:rPr>
          <w:sz w:val="12"/>
          <w:szCs w:val="12"/>
        </w:rPr>
        <w:t>BÖLN</w:t>
      </w:r>
      <w:r w:rsidRPr="00D37717">
        <w:rPr>
          <w:sz w:val="12"/>
          <w:szCs w:val="12"/>
        </w:rPr>
        <w:t>, being partner of the FP7 ERA-net project, CORE Organic II.</w:t>
      </w:r>
    </w:p>
    <w:p w14:paraId="06B0DD7E" w14:textId="77777777" w:rsidR="007E4E73" w:rsidRPr="007E4E73" w:rsidRDefault="007E4E73" w:rsidP="007E4E73">
      <w:pPr>
        <w:pStyle w:val="Normaltext"/>
        <w:tabs>
          <w:tab w:val="left" w:pos="240"/>
        </w:tabs>
        <w:spacing w:after="60" w:line="240" w:lineRule="auto"/>
        <w:rPr>
          <w:sz w:val="10"/>
          <w:szCs w:val="10"/>
        </w:rPr>
      </w:pPr>
    </w:p>
    <w:p w14:paraId="166A5E8E" w14:textId="77777777" w:rsidR="001A6419" w:rsidRPr="00981205" w:rsidRDefault="001A6419" w:rsidP="001A6419">
      <w:pPr>
        <w:pStyle w:val="berschrift11"/>
        <w:rPr>
          <w:lang w:val="en-US"/>
        </w:rPr>
      </w:pPr>
      <w:r w:rsidRPr="00981205">
        <w:rPr>
          <w:lang w:val="en-US"/>
        </w:rPr>
        <w:t>References</w:t>
      </w:r>
    </w:p>
    <w:p w14:paraId="6A8270BD" w14:textId="63C567DA" w:rsidR="008D72CE" w:rsidRPr="00D37717" w:rsidRDefault="008D72CE" w:rsidP="001A6419">
      <w:pPr>
        <w:pStyle w:val="Normaltext"/>
        <w:spacing w:before="80"/>
        <w:rPr>
          <w:lang w:val="en-US"/>
        </w:rPr>
      </w:pPr>
      <w:proofErr w:type="spellStart"/>
      <w:r w:rsidRPr="008D72CE">
        <w:rPr>
          <w:lang w:val="en-US"/>
        </w:rPr>
        <w:t>Fueglistaller</w:t>
      </w:r>
      <w:proofErr w:type="spellEnd"/>
      <w:r w:rsidRPr="008D72CE">
        <w:rPr>
          <w:lang w:val="en-US"/>
        </w:rPr>
        <w:t>, U</w:t>
      </w:r>
      <w:r>
        <w:rPr>
          <w:lang w:val="en-US"/>
        </w:rPr>
        <w:t>.,</w:t>
      </w:r>
      <w:r w:rsidRPr="008D72CE">
        <w:rPr>
          <w:lang w:val="en-US"/>
        </w:rPr>
        <w:t xml:space="preserve"> </w:t>
      </w:r>
      <w:proofErr w:type="spellStart"/>
      <w:r w:rsidRPr="008D72CE">
        <w:rPr>
          <w:lang w:val="en-US"/>
        </w:rPr>
        <w:t>Schrettle</w:t>
      </w:r>
      <w:proofErr w:type="spellEnd"/>
      <w:r w:rsidRPr="008D72CE">
        <w:rPr>
          <w:lang w:val="en-US"/>
        </w:rPr>
        <w:t>, Th</w:t>
      </w:r>
      <w:r>
        <w:rPr>
          <w:lang w:val="en-US"/>
        </w:rPr>
        <w:t>. (2008)</w:t>
      </w:r>
      <w:r w:rsidR="00975366">
        <w:rPr>
          <w:lang w:val="en-US"/>
        </w:rPr>
        <w:t>.</w:t>
      </w:r>
      <w:r w:rsidRPr="008D72CE">
        <w:rPr>
          <w:lang w:val="en-US"/>
        </w:rPr>
        <w:t xml:space="preserve"> Service Compe</w:t>
      </w:r>
      <w:r>
        <w:rPr>
          <w:lang w:val="en-US"/>
        </w:rPr>
        <w:t>tence and Firm Performance</w:t>
      </w:r>
      <w:r w:rsidRPr="008D72CE">
        <w:rPr>
          <w:lang w:val="en-US"/>
        </w:rPr>
        <w:t>: Towards a Co</w:t>
      </w:r>
      <w:r w:rsidRPr="008D72CE">
        <w:rPr>
          <w:lang w:val="en-US"/>
        </w:rPr>
        <w:t>n</w:t>
      </w:r>
      <w:r w:rsidRPr="008D72CE">
        <w:rPr>
          <w:lang w:val="en-US"/>
        </w:rPr>
        <w:t>cept for Strategic Differentiation for S</w:t>
      </w:r>
      <w:r>
        <w:rPr>
          <w:lang w:val="en-US"/>
        </w:rPr>
        <w:t>ME</w:t>
      </w:r>
      <w:r w:rsidR="00D37717">
        <w:rPr>
          <w:lang w:val="en-US"/>
        </w:rPr>
        <w:t>s</w:t>
      </w:r>
      <w:r w:rsidRPr="008D72CE">
        <w:rPr>
          <w:lang w:val="en-US"/>
        </w:rPr>
        <w:t>. In: Inn</w:t>
      </w:r>
      <w:r w:rsidRPr="008D72CE">
        <w:rPr>
          <w:lang w:val="en-US"/>
        </w:rPr>
        <w:t>o</w:t>
      </w:r>
      <w:r w:rsidRPr="008D72CE">
        <w:rPr>
          <w:lang w:val="en-US"/>
        </w:rPr>
        <w:t>vation, Competitiveness, Growth and Tradition in SMEs</w:t>
      </w:r>
      <w:r w:rsidR="00D37717">
        <w:rPr>
          <w:lang w:val="en-US"/>
        </w:rPr>
        <w:t>.</w:t>
      </w:r>
      <w:r w:rsidRPr="008D72CE">
        <w:rPr>
          <w:lang w:val="en-US"/>
        </w:rPr>
        <w:t xml:space="preserve"> </w:t>
      </w:r>
      <w:r w:rsidR="00D37717">
        <w:rPr>
          <w:lang w:val="en-US"/>
        </w:rPr>
        <w:t>KMU-</w:t>
      </w:r>
      <w:proofErr w:type="spellStart"/>
      <w:r w:rsidR="00D37717">
        <w:rPr>
          <w:lang w:val="en-US"/>
        </w:rPr>
        <w:t>Verlag</w:t>
      </w:r>
      <w:proofErr w:type="spellEnd"/>
      <w:r w:rsidR="00D37717">
        <w:rPr>
          <w:lang w:val="en-US"/>
        </w:rPr>
        <w:t xml:space="preserve"> </w:t>
      </w:r>
      <w:proofErr w:type="spellStart"/>
      <w:r w:rsidR="00D37717">
        <w:rPr>
          <w:lang w:val="en-US"/>
        </w:rPr>
        <w:t>HSG.Rencontres</w:t>
      </w:r>
      <w:proofErr w:type="spellEnd"/>
      <w:r w:rsidR="00D37717">
        <w:rPr>
          <w:lang w:val="en-US"/>
        </w:rPr>
        <w:t xml:space="preserve"> de St-Gall 2008.</w:t>
      </w:r>
    </w:p>
    <w:p w14:paraId="131DBC9C" w14:textId="040BFD90" w:rsidR="00D37717" w:rsidRPr="002248B5" w:rsidRDefault="00882473" w:rsidP="00D37717">
      <w:pPr>
        <w:pStyle w:val="Normaltext"/>
        <w:spacing w:before="80"/>
        <w:rPr>
          <w:lang w:val="de-DE"/>
        </w:rPr>
      </w:pPr>
      <w:r w:rsidRPr="002248B5">
        <w:rPr>
          <w:lang w:val="de-DE"/>
        </w:rPr>
        <w:t xml:space="preserve">Münchhausen, </w:t>
      </w:r>
      <w:r w:rsidR="00981205" w:rsidRPr="002248B5">
        <w:rPr>
          <w:lang w:val="de-DE"/>
        </w:rPr>
        <w:t xml:space="preserve">von, </w:t>
      </w:r>
      <w:r w:rsidRPr="002248B5">
        <w:rPr>
          <w:lang w:val="de-DE"/>
        </w:rPr>
        <w:t>S.</w:t>
      </w:r>
      <w:r w:rsidR="00D37717" w:rsidRPr="002248B5">
        <w:rPr>
          <w:lang w:val="de-DE"/>
        </w:rPr>
        <w:t xml:space="preserve"> </w:t>
      </w:r>
      <w:r w:rsidRPr="002248B5">
        <w:rPr>
          <w:lang w:val="de-DE"/>
        </w:rPr>
        <w:t>(</w:t>
      </w:r>
      <w:r w:rsidR="00981205" w:rsidRPr="002248B5">
        <w:rPr>
          <w:lang w:val="de-DE"/>
        </w:rPr>
        <w:t>2015a</w:t>
      </w:r>
      <w:r w:rsidRPr="002248B5">
        <w:rPr>
          <w:lang w:val="de-DE"/>
        </w:rPr>
        <w:t>)</w:t>
      </w:r>
      <w:r w:rsidR="00975366" w:rsidRPr="002248B5">
        <w:rPr>
          <w:lang w:val="de-DE"/>
        </w:rPr>
        <w:t>.</w:t>
      </w:r>
      <w:r w:rsidR="00D37717" w:rsidRPr="002248B5">
        <w:rPr>
          <w:lang w:val="de-DE"/>
        </w:rPr>
        <w:t xml:space="preserve"> </w:t>
      </w:r>
      <w:proofErr w:type="spellStart"/>
      <w:r w:rsidR="00981205" w:rsidRPr="002248B5">
        <w:rPr>
          <w:lang w:val="de-DE"/>
        </w:rPr>
        <w:t>Biofach</w:t>
      </w:r>
      <w:proofErr w:type="spellEnd"/>
      <w:r w:rsidR="00981205" w:rsidRPr="002248B5">
        <w:rPr>
          <w:lang w:val="de-DE"/>
        </w:rPr>
        <w:t xml:space="preserve"> Workshop. </w:t>
      </w:r>
      <w:r w:rsidR="00D37717" w:rsidRPr="002248B5">
        <w:rPr>
          <w:lang w:val="de-DE"/>
        </w:rPr>
        <w:t>Landwege</w:t>
      </w:r>
      <w:r w:rsidR="00981205" w:rsidRPr="002248B5">
        <w:rPr>
          <w:lang w:val="de-DE"/>
        </w:rPr>
        <w:t xml:space="preserve"> </w:t>
      </w:r>
      <w:proofErr w:type="spellStart"/>
      <w:r w:rsidR="00981205" w:rsidRPr="002248B5">
        <w:rPr>
          <w:lang w:val="de-DE"/>
        </w:rPr>
        <w:t>Presentation</w:t>
      </w:r>
      <w:proofErr w:type="spellEnd"/>
      <w:r w:rsidR="00975366" w:rsidRPr="002248B5">
        <w:rPr>
          <w:lang w:val="de-DE"/>
        </w:rPr>
        <w:t>.</w:t>
      </w:r>
      <w:r w:rsidR="00D37717" w:rsidRPr="002248B5">
        <w:rPr>
          <w:lang w:val="de-DE"/>
        </w:rPr>
        <w:t xml:space="preserve"> www.orgprints.org/27621</w:t>
      </w:r>
    </w:p>
    <w:p w14:paraId="76D95BA6" w14:textId="5B0B3D60" w:rsidR="00D37717" w:rsidRDefault="00882473" w:rsidP="00D37717">
      <w:pPr>
        <w:pStyle w:val="Normaltext"/>
        <w:spacing w:before="80"/>
      </w:pPr>
      <w:r w:rsidRPr="002248B5">
        <w:rPr>
          <w:lang w:val="de-DE"/>
        </w:rPr>
        <w:t xml:space="preserve">Münchhausen, </w:t>
      </w:r>
      <w:r w:rsidR="00981205" w:rsidRPr="002248B5">
        <w:rPr>
          <w:lang w:val="de-DE"/>
        </w:rPr>
        <w:t xml:space="preserve">von, </w:t>
      </w:r>
      <w:r w:rsidRPr="002248B5">
        <w:rPr>
          <w:lang w:val="de-DE"/>
        </w:rPr>
        <w:t>S. (2015</w:t>
      </w:r>
      <w:r w:rsidR="00981205" w:rsidRPr="002248B5">
        <w:rPr>
          <w:lang w:val="de-DE"/>
        </w:rPr>
        <w:t>b</w:t>
      </w:r>
      <w:r w:rsidRPr="002248B5">
        <w:rPr>
          <w:lang w:val="de-DE"/>
        </w:rPr>
        <w:t>)</w:t>
      </w:r>
      <w:r w:rsidR="00975366" w:rsidRPr="002248B5">
        <w:rPr>
          <w:lang w:val="de-DE"/>
        </w:rPr>
        <w:t>.</w:t>
      </w:r>
      <w:r w:rsidR="00981205" w:rsidRPr="002248B5">
        <w:rPr>
          <w:lang w:val="de-DE"/>
        </w:rPr>
        <w:t xml:space="preserve"> </w:t>
      </w:r>
      <w:r w:rsidR="00981205">
        <w:t xml:space="preserve">HealthyGrowth, Full </w:t>
      </w:r>
      <w:r w:rsidR="00D37717">
        <w:t>Case Study Report Bohlsener Mühle</w:t>
      </w:r>
      <w:r w:rsidR="00981205">
        <w:t xml:space="preserve"> - Germany</w:t>
      </w:r>
      <w:r w:rsidR="00D37717">
        <w:t>. www.</w:t>
      </w:r>
      <w:r w:rsidR="00981205">
        <w:t>orgprints.org/28756</w:t>
      </w:r>
    </w:p>
    <w:p w14:paraId="09BA3958" w14:textId="7B029A73" w:rsidR="001A6419" w:rsidRDefault="00ED055A" w:rsidP="001A6419">
      <w:pPr>
        <w:pStyle w:val="Normaltext"/>
        <w:spacing w:before="80"/>
        <w:rPr>
          <w:lang w:val="en-US"/>
        </w:rPr>
      </w:pPr>
      <w:proofErr w:type="spellStart"/>
      <w:r w:rsidRPr="002248B5">
        <w:rPr>
          <w:lang w:val="de-DE"/>
        </w:rPr>
        <w:t>Schalteg</w:t>
      </w:r>
      <w:r w:rsidRPr="000568EB">
        <w:rPr>
          <w:lang w:val="de-DE"/>
        </w:rPr>
        <w:t>ger</w:t>
      </w:r>
      <w:proofErr w:type="spellEnd"/>
      <w:r w:rsidRPr="000568EB">
        <w:rPr>
          <w:lang w:val="de-DE"/>
        </w:rPr>
        <w:t xml:space="preserve">, S.; Herzig, </w:t>
      </w:r>
      <w:proofErr w:type="spellStart"/>
      <w:r w:rsidRPr="000568EB">
        <w:rPr>
          <w:lang w:val="de-DE"/>
        </w:rPr>
        <w:t>Ch</w:t>
      </w:r>
      <w:proofErr w:type="spellEnd"/>
      <w:r w:rsidRPr="000568EB">
        <w:rPr>
          <w:lang w:val="de-DE"/>
        </w:rPr>
        <w:t xml:space="preserve">.; Kleiber O, </w:t>
      </w:r>
      <w:proofErr w:type="spellStart"/>
      <w:r w:rsidRPr="000568EB">
        <w:rPr>
          <w:lang w:val="de-DE"/>
        </w:rPr>
        <w:t>and</w:t>
      </w:r>
      <w:proofErr w:type="spellEnd"/>
      <w:r w:rsidRPr="000568EB">
        <w:rPr>
          <w:lang w:val="de-DE"/>
        </w:rPr>
        <w:t xml:space="preserve"> Müller, J. (2002). </w:t>
      </w:r>
      <w:proofErr w:type="gramStart"/>
      <w:r w:rsidRPr="00ED055A">
        <w:rPr>
          <w:lang w:val="en-US"/>
        </w:rPr>
        <w:t>Sustainability Manageme</w:t>
      </w:r>
      <w:r>
        <w:rPr>
          <w:lang w:val="en-US"/>
        </w:rPr>
        <w:t>nt in Business Enterprises, Conc</w:t>
      </w:r>
      <w:r w:rsidRPr="00ED055A">
        <w:rPr>
          <w:lang w:val="en-US"/>
        </w:rPr>
        <w:t>epts and Inst</w:t>
      </w:r>
      <w:r>
        <w:rPr>
          <w:lang w:val="en-US"/>
        </w:rPr>
        <w:t>ru</w:t>
      </w:r>
      <w:r w:rsidRPr="00ED055A">
        <w:rPr>
          <w:lang w:val="en-US"/>
        </w:rPr>
        <w:t xml:space="preserve">ments for </w:t>
      </w:r>
      <w:proofErr w:type="spellStart"/>
      <w:r w:rsidRPr="00ED055A">
        <w:rPr>
          <w:lang w:val="en-US"/>
        </w:rPr>
        <w:t>Sustin</w:t>
      </w:r>
      <w:r w:rsidRPr="00ED055A">
        <w:rPr>
          <w:lang w:val="en-US"/>
        </w:rPr>
        <w:t>a</w:t>
      </w:r>
      <w:r w:rsidR="005F6E8D">
        <w:rPr>
          <w:lang w:val="en-US"/>
        </w:rPr>
        <w:t>ble</w:t>
      </w:r>
      <w:proofErr w:type="spellEnd"/>
      <w:r w:rsidR="005F6E8D">
        <w:rPr>
          <w:lang w:val="en-US"/>
        </w:rPr>
        <w:t xml:space="preserve"> </w:t>
      </w:r>
      <w:proofErr w:type="spellStart"/>
      <w:r w:rsidR="005F6E8D">
        <w:rPr>
          <w:lang w:val="en-US"/>
        </w:rPr>
        <w:t>Organisation</w:t>
      </w:r>
      <w:proofErr w:type="spellEnd"/>
      <w:r w:rsidR="005F6E8D">
        <w:rPr>
          <w:lang w:val="en-US"/>
        </w:rPr>
        <w:t xml:space="preserve"> Development</w:t>
      </w:r>
      <w:r>
        <w:rPr>
          <w:lang w:val="en-US"/>
        </w:rPr>
        <w:t>, BMU, Berlin.</w:t>
      </w:r>
      <w:proofErr w:type="gramEnd"/>
    </w:p>
    <w:sectPr w:rsidR="001A6419">
      <w:type w:val="continuous"/>
      <w:pgSz w:w="11907" w:h="16840" w:code="9"/>
      <w:pgMar w:top="1134" w:right="1134" w:bottom="1134" w:left="1474" w:header="709" w:footer="709" w:gutter="0"/>
      <w:cols w:num="2" w:space="720" w:equalWidth="0">
        <w:col w:w="4295" w:space="708"/>
        <w:col w:w="4295"/>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B1EFE1" w14:textId="77777777" w:rsidR="00557BED" w:rsidRDefault="00557BED">
      <w:r>
        <w:separator/>
      </w:r>
    </w:p>
  </w:endnote>
  <w:endnote w:type="continuationSeparator" w:id="0">
    <w:p w14:paraId="4FFD9BF9" w14:textId="77777777" w:rsidR="00557BED" w:rsidRDefault="00557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11DC5E" w14:textId="77777777" w:rsidR="00ED055A" w:rsidRDefault="00ED055A" w:rsidP="00BD295C">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6D3FFAC8" w14:textId="77777777" w:rsidR="00ED055A" w:rsidRDefault="00ED055A" w:rsidP="00CD5A2F">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110A7" w14:textId="77777777" w:rsidR="00ED055A" w:rsidRPr="00405D42" w:rsidRDefault="00ED055A" w:rsidP="00CD5A2F">
    <w:pPr>
      <w:pStyle w:val="Fuzeile"/>
      <w:ind w:right="360"/>
      <w:rPr>
        <w:rFonts w:ascii="Verdana" w:hAnsi="Verdana"/>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31AD2D" w14:textId="77777777" w:rsidR="00557BED" w:rsidRDefault="00557BED">
      <w:r>
        <w:separator/>
      </w:r>
    </w:p>
  </w:footnote>
  <w:footnote w:type="continuationSeparator" w:id="0">
    <w:p w14:paraId="3B9EE594" w14:textId="77777777" w:rsidR="00557BED" w:rsidRDefault="00557BED">
      <w:r>
        <w:continuationSeparator/>
      </w:r>
    </w:p>
  </w:footnote>
  <w:footnote w:id="1">
    <w:p w14:paraId="115D8692" w14:textId="32E874CD" w:rsidR="00ED055A" w:rsidRDefault="00ED055A" w:rsidP="0020461B">
      <w:pPr>
        <w:pStyle w:val="Footnote"/>
        <w:rPr>
          <w:lang w:val="en-GB"/>
        </w:rPr>
      </w:pPr>
      <w:r w:rsidRPr="00BF3817">
        <w:rPr>
          <w:vertAlign w:val="superscript"/>
          <w:lang w:val="en-GB"/>
        </w:rPr>
        <w:footnoteRef/>
      </w:r>
      <w:r w:rsidRPr="00BF3817">
        <w:rPr>
          <w:vertAlign w:val="superscript"/>
          <w:lang w:val="en-GB"/>
        </w:rPr>
        <w:t xml:space="preserve"> </w:t>
      </w:r>
      <w:r>
        <w:rPr>
          <w:lang w:val="en-GB"/>
        </w:rPr>
        <w:t>Susanne v. Münchhausen</w:t>
      </w:r>
      <w:r w:rsidRPr="00BF3817">
        <w:rPr>
          <w:lang w:val="en-GB"/>
        </w:rPr>
        <w:t xml:space="preserve"> </w:t>
      </w:r>
      <w:r>
        <w:rPr>
          <w:lang w:val="en-GB"/>
        </w:rPr>
        <w:t xml:space="preserve">and Anna Maria </w:t>
      </w:r>
      <w:proofErr w:type="spellStart"/>
      <w:r>
        <w:rPr>
          <w:lang w:val="en-GB"/>
        </w:rPr>
        <w:t>Häring</w:t>
      </w:r>
      <w:proofErr w:type="spellEnd"/>
      <w:r>
        <w:rPr>
          <w:lang w:val="en-GB"/>
        </w:rPr>
        <w:t xml:space="preserve"> are </w:t>
      </w:r>
      <w:r w:rsidRPr="00BF3817">
        <w:rPr>
          <w:lang w:val="en-GB"/>
        </w:rPr>
        <w:t xml:space="preserve">working </w:t>
      </w:r>
      <w:r>
        <w:rPr>
          <w:lang w:val="en-GB"/>
        </w:rPr>
        <w:t xml:space="preserve">with </w:t>
      </w:r>
      <w:r w:rsidRPr="00BF3817">
        <w:rPr>
          <w:lang w:val="en-GB"/>
        </w:rPr>
        <w:t xml:space="preserve">the </w:t>
      </w:r>
      <w:r>
        <w:rPr>
          <w:lang w:val="en-GB"/>
        </w:rPr>
        <w:t>Eberswalde University for Sustainable Development, Germany</w:t>
      </w:r>
      <w:r w:rsidRPr="00BF3817">
        <w:rPr>
          <w:lang w:val="en-GB"/>
        </w:rPr>
        <w:t>. (</w:t>
      </w:r>
      <w:hyperlink r:id="rId1" w:history="1">
        <w:r w:rsidRPr="002248B5">
          <w:t>susanne.vonMuenchhausen@hnee.de</w:t>
        </w:r>
      </w:hyperlink>
      <w:r>
        <w:rPr>
          <w:lang w:val="en-GB"/>
        </w:rPr>
        <w:t>; anna.haering@hnee.de</w:t>
      </w:r>
      <w:r w:rsidRPr="00BF3817">
        <w:rPr>
          <w:lang w:val="en-GB"/>
        </w:rPr>
        <w:t>)</w:t>
      </w:r>
    </w:p>
    <w:p w14:paraId="3F5EF114" w14:textId="7515010C" w:rsidR="002248B5" w:rsidRPr="00BF3817" w:rsidRDefault="00ED055A" w:rsidP="000D758C">
      <w:pPr>
        <w:pStyle w:val="Footnote"/>
        <w:rPr>
          <w:lang w:val="en-GB"/>
        </w:rPr>
      </w:pPr>
      <w:r w:rsidRPr="00793ADC">
        <w:rPr>
          <w:vertAlign w:val="superscript"/>
          <w:lang w:val="en-GB"/>
        </w:rPr>
        <w:t>2</w:t>
      </w:r>
      <w:r>
        <w:rPr>
          <w:vertAlign w:val="superscript"/>
          <w:lang w:val="en-GB"/>
        </w:rPr>
        <w:t xml:space="preserve"> </w:t>
      </w:r>
      <w:r>
        <w:rPr>
          <w:lang w:val="en-GB"/>
        </w:rPr>
        <w:t>Gunn-</w:t>
      </w:r>
      <w:proofErr w:type="spellStart"/>
      <w:r>
        <w:rPr>
          <w:lang w:val="en-GB"/>
        </w:rPr>
        <w:t>Turid</w:t>
      </w:r>
      <w:proofErr w:type="spellEnd"/>
      <w:r>
        <w:rPr>
          <w:lang w:val="en-GB"/>
        </w:rPr>
        <w:t xml:space="preserve"> </w:t>
      </w:r>
      <w:proofErr w:type="spellStart"/>
      <w:r>
        <w:rPr>
          <w:lang w:val="en-GB"/>
        </w:rPr>
        <w:t>Kvam</w:t>
      </w:r>
      <w:proofErr w:type="spellEnd"/>
      <w:r>
        <w:rPr>
          <w:lang w:val="en-GB"/>
        </w:rPr>
        <w:t>, Centre for Rural Research, CRR, Norway. (</w:t>
      </w:r>
      <w:r w:rsidRPr="000D758C">
        <w:rPr>
          <w:lang w:val="en-GB"/>
        </w:rPr>
        <w:t>gunn.turid.kvam@bygdeforskning.no</w:t>
      </w:r>
      <w:r>
        <w:rPr>
          <w:lang w:val="en-GB"/>
        </w:rPr>
        <w:t>)</w:t>
      </w:r>
    </w:p>
    <w:p w14:paraId="53212E76" w14:textId="23649DB2" w:rsidR="00ED055A" w:rsidRDefault="00ED055A" w:rsidP="0020461B">
      <w:pPr>
        <w:pStyle w:val="Footnote"/>
        <w:rPr>
          <w:lang w:val="en-GB"/>
        </w:rPr>
      </w:pPr>
      <w:r>
        <w:rPr>
          <w:vertAlign w:val="superscript"/>
          <w:lang w:val="en-GB"/>
        </w:rPr>
        <w:t>3</w:t>
      </w:r>
      <w:r>
        <w:rPr>
          <w:lang w:val="en-GB"/>
        </w:rPr>
        <w:t xml:space="preserve"> </w:t>
      </w:r>
      <w:proofErr w:type="spellStart"/>
      <w:r>
        <w:rPr>
          <w:lang w:val="en-GB"/>
        </w:rPr>
        <w:t>Rebecka</w:t>
      </w:r>
      <w:proofErr w:type="spellEnd"/>
      <w:r>
        <w:rPr>
          <w:lang w:val="en-GB"/>
        </w:rPr>
        <w:t xml:space="preserve"> </w:t>
      </w:r>
      <w:proofErr w:type="spellStart"/>
      <w:r>
        <w:rPr>
          <w:lang w:val="en-GB"/>
        </w:rPr>
        <w:t>Milestad</w:t>
      </w:r>
      <w:proofErr w:type="spellEnd"/>
      <w:r>
        <w:rPr>
          <w:lang w:val="en-GB"/>
        </w:rPr>
        <w:t xml:space="preserve"> is </w:t>
      </w:r>
      <w:r w:rsidRPr="00BF3817">
        <w:rPr>
          <w:lang w:val="en-GB"/>
        </w:rPr>
        <w:t xml:space="preserve">from the </w:t>
      </w:r>
      <w:r>
        <w:rPr>
          <w:lang w:val="en-GB"/>
        </w:rPr>
        <w:t>Royal Institute of Technology, Stoc</w:t>
      </w:r>
      <w:r>
        <w:rPr>
          <w:lang w:val="en-GB"/>
        </w:rPr>
        <w:t>k</w:t>
      </w:r>
      <w:r>
        <w:rPr>
          <w:lang w:val="en-GB"/>
        </w:rPr>
        <w:t>holm, Sweden. (</w:t>
      </w:r>
      <w:hyperlink r:id="rId2" w:history="1">
        <w:r w:rsidRPr="002248B5">
          <w:t>rebecka.milestad@abe.kth.se</w:t>
        </w:r>
      </w:hyperlink>
      <w:r w:rsidR="002248B5">
        <w:rPr>
          <w:lang w:val="en-GB"/>
        </w:rPr>
        <w:t>)</w:t>
      </w:r>
    </w:p>
    <w:p w14:paraId="147AEB88" w14:textId="07EB41EB" w:rsidR="00ED055A" w:rsidRPr="009913B4" w:rsidRDefault="00ED055A" w:rsidP="00F445EB">
      <w:pPr>
        <w:pStyle w:val="Footnote"/>
        <w:jc w:val="both"/>
        <w:rPr>
          <w:color w:val="FF0000"/>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top w:val="none" w:sz="0" w:space="0" w:color="auto"/>
        <w:left w:val="none" w:sz="0" w:space="0" w:color="auto"/>
        <w:bottom w:val="single" w:sz="6" w:space="0" w:color="777777"/>
        <w:right w:val="none" w:sz="0" w:space="0" w:color="auto"/>
        <w:insideH w:val="none" w:sz="0" w:space="0" w:color="auto"/>
        <w:insideV w:val="none" w:sz="0" w:space="0" w:color="auto"/>
      </w:tblBorders>
      <w:tblLook w:val="04A0" w:firstRow="1" w:lastRow="0" w:firstColumn="1" w:lastColumn="0" w:noHBand="0" w:noVBand="1"/>
    </w:tblPr>
    <w:tblGrid>
      <w:gridCol w:w="1206"/>
      <w:gridCol w:w="6824"/>
      <w:gridCol w:w="1485"/>
    </w:tblGrid>
    <w:tr w:rsidR="00ED055A" w:rsidRPr="004A662A" w14:paraId="7DBA313B" w14:textId="77777777" w:rsidTr="001B519B">
      <w:tc>
        <w:tcPr>
          <w:tcW w:w="2518" w:type="dxa"/>
          <w:vAlign w:val="center"/>
        </w:tcPr>
        <w:p w14:paraId="34F06A69" w14:textId="77777777" w:rsidR="00ED055A" w:rsidRPr="001B519B" w:rsidRDefault="00ED055A" w:rsidP="00911FBE">
          <w:pPr>
            <w:pStyle w:val="Kopfzeile"/>
            <w:rPr>
              <w:rFonts w:ascii="Verdana" w:hAnsi="Verdana"/>
              <w:color w:val="A20000"/>
              <w:lang w:val="en-GB"/>
            </w:rPr>
          </w:pPr>
        </w:p>
      </w:tc>
      <w:tc>
        <w:tcPr>
          <w:tcW w:w="3827" w:type="dxa"/>
          <w:vAlign w:val="center"/>
        </w:tcPr>
        <w:p w14:paraId="062F1597" w14:textId="77777777" w:rsidR="00ED055A" w:rsidRPr="00D61A41" w:rsidRDefault="00ED055A" w:rsidP="00911FBE">
          <w:pPr>
            <w:pStyle w:val="Kopfzeile"/>
            <w:spacing w:before="120" w:after="80"/>
            <w:jc w:val="center"/>
            <w:rPr>
              <w:rFonts w:ascii="Cambria" w:hAnsi="Cambria"/>
              <w:b/>
              <w:color w:val="A20000"/>
              <w:sz w:val="12"/>
              <w:szCs w:val="12"/>
              <w:lang w:val="en-GB"/>
            </w:rPr>
          </w:pPr>
          <w:r>
            <w:rPr>
              <w:rFonts w:ascii="Cambria" w:hAnsi="Cambria"/>
              <w:b/>
              <w:noProof/>
              <w:color w:val="A20000"/>
              <w:sz w:val="12"/>
              <w:szCs w:val="12"/>
              <w:lang w:val="de-DE" w:eastAsia="de-DE"/>
            </w:rPr>
            <w:drawing>
              <wp:inline distT="0" distB="0" distL="0" distR="0" wp14:anchorId="697824FA" wp14:editId="412F6ACE">
                <wp:extent cx="4196615" cy="63212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6431" cy="632098"/>
                        </a:xfrm>
                        <a:prstGeom prst="rect">
                          <a:avLst/>
                        </a:prstGeom>
                        <a:noFill/>
                      </pic:spPr>
                    </pic:pic>
                  </a:graphicData>
                </a:graphic>
              </wp:inline>
            </w:drawing>
          </w:r>
        </w:p>
      </w:tc>
      <w:tc>
        <w:tcPr>
          <w:tcW w:w="3008" w:type="dxa"/>
          <w:vAlign w:val="center"/>
        </w:tcPr>
        <w:p w14:paraId="575BF45B" w14:textId="77777777" w:rsidR="00ED055A" w:rsidRPr="001B519B" w:rsidRDefault="00ED055A" w:rsidP="00911FBE">
          <w:pPr>
            <w:pStyle w:val="Kopfzeile"/>
            <w:jc w:val="right"/>
            <w:rPr>
              <w:rFonts w:ascii="Cambria" w:hAnsi="Cambria"/>
              <w:color w:val="A20000"/>
              <w:sz w:val="20"/>
              <w:szCs w:val="20"/>
              <w:lang w:val="en-GB"/>
            </w:rPr>
          </w:pPr>
          <w:r w:rsidRPr="00292E30">
            <w:rPr>
              <w:rFonts w:ascii="Verdana" w:hAnsi="Verdana"/>
              <w:color w:val="7030A0"/>
              <w:sz w:val="20"/>
              <w:szCs w:val="20"/>
              <w:lang w:val="en-GB"/>
            </w:rPr>
            <w:fldChar w:fldCharType="begin"/>
          </w:r>
          <w:r w:rsidRPr="00292E30">
            <w:rPr>
              <w:rFonts w:ascii="Verdana" w:hAnsi="Verdana"/>
              <w:color w:val="7030A0"/>
              <w:sz w:val="20"/>
              <w:szCs w:val="20"/>
              <w:lang w:val="en-GB"/>
            </w:rPr>
            <w:instrText>PAGE   \* MERGEFORMAT</w:instrText>
          </w:r>
          <w:r w:rsidRPr="00292E30">
            <w:rPr>
              <w:rFonts w:ascii="Verdana" w:hAnsi="Verdana"/>
              <w:color w:val="7030A0"/>
              <w:sz w:val="20"/>
              <w:szCs w:val="20"/>
              <w:lang w:val="en-GB"/>
            </w:rPr>
            <w:fldChar w:fldCharType="separate"/>
          </w:r>
          <w:r w:rsidR="002248B5">
            <w:rPr>
              <w:rFonts w:ascii="Verdana" w:hAnsi="Verdana"/>
              <w:noProof/>
              <w:color w:val="7030A0"/>
              <w:sz w:val="20"/>
              <w:szCs w:val="20"/>
              <w:lang w:val="en-GB"/>
            </w:rPr>
            <w:t>1</w:t>
          </w:r>
          <w:r w:rsidRPr="00292E30">
            <w:rPr>
              <w:rFonts w:ascii="Verdana" w:hAnsi="Verdana"/>
              <w:color w:val="7030A0"/>
              <w:sz w:val="20"/>
              <w:szCs w:val="20"/>
              <w:lang w:val="en-GB"/>
            </w:rPr>
            <w:fldChar w:fldCharType="end"/>
          </w:r>
        </w:p>
      </w:tc>
    </w:tr>
  </w:tbl>
  <w:p w14:paraId="6AFF8D08" w14:textId="77777777" w:rsidR="00ED055A" w:rsidRPr="001B519B" w:rsidRDefault="00ED055A" w:rsidP="001B519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AB1249"/>
    <w:multiLevelType w:val="hybridMultilevel"/>
    <w:tmpl w:val="7436D3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FCE"/>
    <w:rsid w:val="0000135C"/>
    <w:rsid w:val="000568EB"/>
    <w:rsid w:val="00063AC4"/>
    <w:rsid w:val="00073BA2"/>
    <w:rsid w:val="000A201C"/>
    <w:rsid w:val="000C5094"/>
    <w:rsid w:val="000D758C"/>
    <w:rsid w:val="000E3E47"/>
    <w:rsid w:val="000E74B8"/>
    <w:rsid w:val="000E78FC"/>
    <w:rsid w:val="000F4DAD"/>
    <w:rsid w:val="001678D0"/>
    <w:rsid w:val="001A0BC2"/>
    <w:rsid w:val="001A40D4"/>
    <w:rsid w:val="001A6419"/>
    <w:rsid w:val="001B519B"/>
    <w:rsid w:val="001C1269"/>
    <w:rsid w:val="001C4957"/>
    <w:rsid w:val="001D4C5F"/>
    <w:rsid w:val="001F1E2E"/>
    <w:rsid w:val="001F70E5"/>
    <w:rsid w:val="0020461B"/>
    <w:rsid w:val="00221944"/>
    <w:rsid w:val="002248B5"/>
    <w:rsid w:val="00240263"/>
    <w:rsid w:val="00240303"/>
    <w:rsid w:val="002427DF"/>
    <w:rsid w:val="00251A66"/>
    <w:rsid w:val="00275E7E"/>
    <w:rsid w:val="002858E5"/>
    <w:rsid w:val="00285D11"/>
    <w:rsid w:val="00292E30"/>
    <w:rsid w:val="00294212"/>
    <w:rsid w:val="002C042C"/>
    <w:rsid w:val="002C31D2"/>
    <w:rsid w:val="002D0964"/>
    <w:rsid w:val="002D204E"/>
    <w:rsid w:val="00334B9F"/>
    <w:rsid w:val="0036051D"/>
    <w:rsid w:val="0036167E"/>
    <w:rsid w:val="00363C69"/>
    <w:rsid w:val="003647CC"/>
    <w:rsid w:val="0039785E"/>
    <w:rsid w:val="003D47CF"/>
    <w:rsid w:val="003D58C2"/>
    <w:rsid w:val="003E66E8"/>
    <w:rsid w:val="003F5347"/>
    <w:rsid w:val="00405D42"/>
    <w:rsid w:val="00420522"/>
    <w:rsid w:val="0043791D"/>
    <w:rsid w:val="00473026"/>
    <w:rsid w:val="004851E8"/>
    <w:rsid w:val="004B3FD8"/>
    <w:rsid w:val="004C016C"/>
    <w:rsid w:val="004C4D87"/>
    <w:rsid w:val="0050467A"/>
    <w:rsid w:val="00513039"/>
    <w:rsid w:val="00514837"/>
    <w:rsid w:val="00534A84"/>
    <w:rsid w:val="00543B8B"/>
    <w:rsid w:val="005474F3"/>
    <w:rsid w:val="00557BED"/>
    <w:rsid w:val="005B6B3D"/>
    <w:rsid w:val="005D19D6"/>
    <w:rsid w:val="005E052A"/>
    <w:rsid w:val="005F6E8D"/>
    <w:rsid w:val="006243F7"/>
    <w:rsid w:val="00655938"/>
    <w:rsid w:val="006676D6"/>
    <w:rsid w:val="00674ACA"/>
    <w:rsid w:val="00693B02"/>
    <w:rsid w:val="00695A69"/>
    <w:rsid w:val="006C572F"/>
    <w:rsid w:val="006D7098"/>
    <w:rsid w:val="006E0A88"/>
    <w:rsid w:val="006E5684"/>
    <w:rsid w:val="00716B5E"/>
    <w:rsid w:val="00732BF2"/>
    <w:rsid w:val="00761424"/>
    <w:rsid w:val="00765402"/>
    <w:rsid w:val="00793ADC"/>
    <w:rsid w:val="007B4FCE"/>
    <w:rsid w:val="007E0B10"/>
    <w:rsid w:val="007E4E73"/>
    <w:rsid w:val="007E580B"/>
    <w:rsid w:val="007F2AF0"/>
    <w:rsid w:val="007F423C"/>
    <w:rsid w:val="00805189"/>
    <w:rsid w:val="00805722"/>
    <w:rsid w:val="00807461"/>
    <w:rsid w:val="00826DE4"/>
    <w:rsid w:val="00850022"/>
    <w:rsid w:val="008636B9"/>
    <w:rsid w:val="00866E19"/>
    <w:rsid w:val="00867CA3"/>
    <w:rsid w:val="00882473"/>
    <w:rsid w:val="008936A7"/>
    <w:rsid w:val="008B0112"/>
    <w:rsid w:val="008D72CE"/>
    <w:rsid w:val="008E3129"/>
    <w:rsid w:val="008F27C0"/>
    <w:rsid w:val="00911FBE"/>
    <w:rsid w:val="00913E23"/>
    <w:rsid w:val="00916AC9"/>
    <w:rsid w:val="0093296F"/>
    <w:rsid w:val="00944EE2"/>
    <w:rsid w:val="00945380"/>
    <w:rsid w:val="00950BE6"/>
    <w:rsid w:val="00961784"/>
    <w:rsid w:val="00964D91"/>
    <w:rsid w:val="00975366"/>
    <w:rsid w:val="00981205"/>
    <w:rsid w:val="00987A58"/>
    <w:rsid w:val="009913B4"/>
    <w:rsid w:val="00994C1E"/>
    <w:rsid w:val="009A0E1D"/>
    <w:rsid w:val="009A5AF6"/>
    <w:rsid w:val="009A7CDD"/>
    <w:rsid w:val="009B4725"/>
    <w:rsid w:val="009E4870"/>
    <w:rsid w:val="009E5BB7"/>
    <w:rsid w:val="009F2084"/>
    <w:rsid w:val="009F578A"/>
    <w:rsid w:val="009F790C"/>
    <w:rsid w:val="00A13095"/>
    <w:rsid w:val="00A2627C"/>
    <w:rsid w:val="00A34A25"/>
    <w:rsid w:val="00A60178"/>
    <w:rsid w:val="00AA72D6"/>
    <w:rsid w:val="00AC1A5A"/>
    <w:rsid w:val="00AC45C9"/>
    <w:rsid w:val="00AD41DC"/>
    <w:rsid w:val="00AE25A4"/>
    <w:rsid w:val="00B107EC"/>
    <w:rsid w:val="00B455BC"/>
    <w:rsid w:val="00B51306"/>
    <w:rsid w:val="00B60C25"/>
    <w:rsid w:val="00B83878"/>
    <w:rsid w:val="00B9276C"/>
    <w:rsid w:val="00B953FC"/>
    <w:rsid w:val="00BA21D7"/>
    <w:rsid w:val="00BC544F"/>
    <w:rsid w:val="00BD295C"/>
    <w:rsid w:val="00BD504B"/>
    <w:rsid w:val="00BD709E"/>
    <w:rsid w:val="00BF3817"/>
    <w:rsid w:val="00BF3FFE"/>
    <w:rsid w:val="00C26FC1"/>
    <w:rsid w:val="00C60D91"/>
    <w:rsid w:val="00C62BFC"/>
    <w:rsid w:val="00C87A7C"/>
    <w:rsid w:val="00C979BE"/>
    <w:rsid w:val="00CA0E79"/>
    <w:rsid w:val="00CA6D2D"/>
    <w:rsid w:val="00CD345E"/>
    <w:rsid w:val="00CD4669"/>
    <w:rsid w:val="00CD5A2F"/>
    <w:rsid w:val="00CF3B0C"/>
    <w:rsid w:val="00D23870"/>
    <w:rsid w:val="00D37717"/>
    <w:rsid w:val="00D425BF"/>
    <w:rsid w:val="00D54350"/>
    <w:rsid w:val="00D61A41"/>
    <w:rsid w:val="00D61EAF"/>
    <w:rsid w:val="00D7446A"/>
    <w:rsid w:val="00DB19C9"/>
    <w:rsid w:val="00DB5076"/>
    <w:rsid w:val="00DC5144"/>
    <w:rsid w:val="00DF2AD1"/>
    <w:rsid w:val="00E51CED"/>
    <w:rsid w:val="00E61C43"/>
    <w:rsid w:val="00E81AEF"/>
    <w:rsid w:val="00E86ABD"/>
    <w:rsid w:val="00E90BBF"/>
    <w:rsid w:val="00E95E05"/>
    <w:rsid w:val="00EA1A08"/>
    <w:rsid w:val="00ED055A"/>
    <w:rsid w:val="00EF416E"/>
    <w:rsid w:val="00EF7EB6"/>
    <w:rsid w:val="00F31BB1"/>
    <w:rsid w:val="00F445EB"/>
    <w:rsid w:val="00F50F7C"/>
    <w:rsid w:val="00F562B7"/>
    <w:rsid w:val="00F86394"/>
    <w:rsid w:val="00FA5E38"/>
    <w:rsid w:val="00FD1735"/>
    <w:rsid w:val="00FD4A0A"/>
    <w:rsid w:val="00FE02AC"/>
    <w:rsid w:val="00FE1F63"/>
    <w:rsid w:val="00FE75E6"/>
    <w:rsid w:val="00FF2292"/>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AFB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Garamond" w:hAnsi="Garamond"/>
      <w:sz w:val="24"/>
      <w:szCs w:val="24"/>
      <w:lang w:val="da-DK" w:eastAsia="da-DK"/>
    </w:rPr>
  </w:style>
  <w:style w:type="paragraph" w:styleId="berschrift1">
    <w:name w:val="heading 1"/>
    <w:aliases w:val="heading2"/>
    <w:basedOn w:val="Standard"/>
    <w:next w:val="Standard"/>
    <w:qFormat/>
    <w:pPr>
      <w:keepNext/>
      <w:outlineLvl w:val="0"/>
    </w:pPr>
    <w:rPr>
      <w:b/>
      <w:bCs/>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autoRedefine/>
    <w:qFormat/>
    <w:pPr>
      <w:keepNext/>
      <w:spacing w:line="200" w:lineRule="atLeast"/>
      <w:jc w:val="both"/>
      <w:outlineLvl w:val="3"/>
    </w:pPr>
    <w:rPr>
      <w:rFonts w:ascii="Verdana" w:hAnsi="Verdana"/>
      <w:b/>
      <w:sz w:val="14"/>
      <w:szCs w:val="20"/>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1">
    <w:name w:val="Titel1"/>
    <w:basedOn w:val="berschrift1"/>
    <w:pPr>
      <w:jc w:val="center"/>
    </w:pPr>
    <w:rPr>
      <w:rFonts w:ascii="Verdana" w:hAnsi="Verdana"/>
      <w:b w:val="0"/>
      <w:bCs w:val="0"/>
      <w:sz w:val="40"/>
    </w:rPr>
  </w:style>
  <w:style w:type="paragraph" w:customStyle="1" w:styleId="Authors">
    <w:name w:val="Authors"/>
    <w:basedOn w:val="Standard"/>
    <w:pPr>
      <w:keepNext/>
      <w:jc w:val="center"/>
      <w:outlineLvl w:val="1"/>
    </w:pPr>
    <w:rPr>
      <w:rFonts w:ascii="Verdana" w:hAnsi="Verdana"/>
    </w:rPr>
  </w:style>
  <w:style w:type="paragraph" w:customStyle="1" w:styleId="abstract">
    <w:name w:val="abstract"/>
    <w:basedOn w:val="berschrift4"/>
  </w:style>
  <w:style w:type="paragraph" w:customStyle="1" w:styleId="Normaltext">
    <w:name w:val="Normal text"/>
    <w:basedOn w:val="Standard"/>
    <w:pPr>
      <w:spacing w:line="220" w:lineRule="atLeast"/>
      <w:jc w:val="both"/>
    </w:pPr>
    <w:rPr>
      <w:rFonts w:ascii="Verdana" w:hAnsi="Verdana"/>
      <w:sz w:val="16"/>
      <w:lang w:val="en-GB"/>
    </w:rPr>
  </w:style>
  <w:style w:type="paragraph" w:customStyle="1" w:styleId="berschrift11">
    <w:name w:val="Überschrift 11"/>
    <w:basedOn w:val="berschrift1"/>
    <w:pPr>
      <w:spacing w:after="40" w:line="220" w:lineRule="atLeast"/>
      <w:jc w:val="center"/>
    </w:pPr>
    <w:rPr>
      <w:rFonts w:ascii="Verdana" w:hAnsi="Verdana"/>
      <w:b w:val="0"/>
      <w:bCs w:val="0"/>
      <w:smallCaps/>
      <w:sz w:val="18"/>
      <w:lang w:val="en-GB"/>
    </w:rPr>
  </w:style>
  <w:style w:type="paragraph" w:styleId="Funotentext">
    <w:name w:val="footnote text"/>
    <w:basedOn w:val="Standard"/>
    <w:semiHidden/>
    <w:rPr>
      <w:sz w:val="20"/>
      <w:szCs w:val="20"/>
    </w:rPr>
  </w:style>
  <w:style w:type="character" w:styleId="Funotenzeichen">
    <w:name w:val="footnote reference"/>
    <w:semiHidden/>
    <w:rPr>
      <w:vertAlign w:val="superscript"/>
    </w:rPr>
  </w:style>
  <w:style w:type="paragraph" w:customStyle="1" w:styleId="Footnote">
    <w:name w:val="Foot note"/>
    <w:basedOn w:val="Funotentext"/>
    <w:pPr>
      <w:tabs>
        <w:tab w:val="left" w:pos="240"/>
      </w:tabs>
      <w:spacing w:line="160" w:lineRule="atLeast"/>
    </w:pPr>
    <w:rPr>
      <w:rFonts w:ascii="Verdana" w:hAnsi="Verdana"/>
      <w:sz w:val="12"/>
    </w:rPr>
  </w:style>
  <w:style w:type="character" w:styleId="Hyperlink">
    <w:name w:val="Hyperlink"/>
    <w:rPr>
      <w:color w:val="0000FF"/>
      <w:u w:val="single"/>
    </w:rPr>
  </w:style>
  <w:style w:type="paragraph" w:styleId="Textkrper">
    <w:name w:val="Body Text"/>
    <w:basedOn w:val="Standard"/>
    <w:pPr>
      <w:autoSpaceDE w:val="0"/>
      <w:autoSpaceDN w:val="0"/>
      <w:adjustRightInd w:val="0"/>
      <w:spacing w:line="220" w:lineRule="atLeast"/>
    </w:pPr>
    <w:rPr>
      <w:rFonts w:ascii="Verdana" w:hAnsi="Verdana"/>
      <w:sz w:val="16"/>
      <w:lang w:val="en-GB"/>
    </w:rPr>
  </w:style>
  <w:style w:type="paragraph" w:customStyle="1" w:styleId="Firstheading">
    <w:name w:val="First heading"/>
    <w:basedOn w:val="Standard"/>
    <w:pPr>
      <w:jc w:val="center"/>
    </w:pPr>
    <w:rPr>
      <w:rFonts w:ascii="Verdana" w:hAnsi="Verdana"/>
      <w:smallCaps/>
      <w:sz w:val="20"/>
      <w:lang w:val="en-US"/>
    </w:rPr>
  </w:style>
  <w:style w:type="paragraph" w:customStyle="1" w:styleId="Table">
    <w:name w:val="Table"/>
    <w:basedOn w:val="Normaltext"/>
    <w:pPr>
      <w:tabs>
        <w:tab w:val="left" w:pos="240"/>
      </w:tabs>
    </w:pPr>
    <w:rPr>
      <w:sz w:val="14"/>
    </w:rPr>
  </w:style>
  <w:style w:type="paragraph" w:styleId="Fuzeile">
    <w:name w:val="footer"/>
    <w:basedOn w:val="Standard"/>
    <w:rsid w:val="00CD5A2F"/>
    <w:pPr>
      <w:tabs>
        <w:tab w:val="center" w:pos="4536"/>
        <w:tab w:val="right" w:pos="9072"/>
      </w:tabs>
    </w:pPr>
  </w:style>
  <w:style w:type="character" w:styleId="Seitenzahl">
    <w:name w:val="page number"/>
    <w:basedOn w:val="Absatz-Standardschriftart"/>
    <w:rsid w:val="00CD5A2F"/>
  </w:style>
  <w:style w:type="paragraph" w:styleId="Kopfzeile">
    <w:name w:val="header"/>
    <w:basedOn w:val="Standard"/>
    <w:link w:val="KopfzeileZchn"/>
    <w:uiPriority w:val="99"/>
    <w:rsid w:val="00CD5A2F"/>
    <w:pPr>
      <w:tabs>
        <w:tab w:val="center" w:pos="4536"/>
        <w:tab w:val="right" w:pos="9072"/>
      </w:tabs>
    </w:pPr>
  </w:style>
  <w:style w:type="paragraph" w:styleId="Sprechblasentext">
    <w:name w:val="Balloon Text"/>
    <w:basedOn w:val="Standard"/>
    <w:semiHidden/>
    <w:rsid w:val="006C572F"/>
    <w:rPr>
      <w:rFonts w:ascii="Tahoma" w:hAnsi="Tahoma" w:cs="Tahoma"/>
      <w:sz w:val="16"/>
      <w:szCs w:val="16"/>
    </w:rPr>
  </w:style>
  <w:style w:type="character" w:styleId="Kommentarzeichen">
    <w:name w:val="annotation reference"/>
    <w:semiHidden/>
    <w:rsid w:val="002427DF"/>
    <w:rPr>
      <w:sz w:val="16"/>
      <w:szCs w:val="16"/>
    </w:rPr>
  </w:style>
  <w:style w:type="paragraph" w:styleId="Kommentartext">
    <w:name w:val="annotation text"/>
    <w:basedOn w:val="Standard"/>
    <w:semiHidden/>
    <w:rsid w:val="002427DF"/>
    <w:rPr>
      <w:sz w:val="20"/>
      <w:szCs w:val="20"/>
    </w:rPr>
  </w:style>
  <w:style w:type="paragraph" w:styleId="Kommentarthema">
    <w:name w:val="annotation subject"/>
    <w:basedOn w:val="Kommentartext"/>
    <w:next w:val="Kommentartext"/>
    <w:semiHidden/>
    <w:rsid w:val="002427DF"/>
    <w:rPr>
      <w:b/>
      <w:bCs/>
    </w:rPr>
  </w:style>
  <w:style w:type="table" w:styleId="Tabellenraster">
    <w:name w:val="Table Grid"/>
    <w:basedOn w:val="NormaleTabelle"/>
    <w:uiPriority w:val="59"/>
    <w:rsid w:val="001B519B"/>
    <w:rPr>
      <w:rFonts w:ascii="Cambria" w:eastAsia="MS Mincho" w:hAnsi="Cambria"/>
      <w:sz w:val="24"/>
      <w:szCs w:val="24"/>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link w:val="Kopfzeile"/>
    <w:uiPriority w:val="99"/>
    <w:rsid w:val="001B519B"/>
    <w:rPr>
      <w:rFonts w:ascii="Garamond" w:hAnsi="Garamond"/>
      <w:sz w:val="24"/>
      <w:szCs w:val="24"/>
      <w:lang w:val="da-DK"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Garamond" w:hAnsi="Garamond"/>
      <w:sz w:val="24"/>
      <w:szCs w:val="24"/>
      <w:lang w:val="da-DK" w:eastAsia="da-DK"/>
    </w:rPr>
  </w:style>
  <w:style w:type="paragraph" w:styleId="berschrift1">
    <w:name w:val="heading 1"/>
    <w:aliases w:val="heading2"/>
    <w:basedOn w:val="Standard"/>
    <w:next w:val="Standard"/>
    <w:qFormat/>
    <w:pPr>
      <w:keepNext/>
      <w:outlineLvl w:val="0"/>
    </w:pPr>
    <w:rPr>
      <w:b/>
      <w:bCs/>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autoRedefine/>
    <w:qFormat/>
    <w:pPr>
      <w:keepNext/>
      <w:spacing w:line="200" w:lineRule="atLeast"/>
      <w:jc w:val="both"/>
      <w:outlineLvl w:val="3"/>
    </w:pPr>
    <w:rPr>
      <w:rFonts w:ascii="Verdana" w:hAnsi="Verdana"/>
      <w:b/>
      <w:sz w:val="14"/>
      <w:szCs w:val="20"/>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1">
    <w:name w:val="Titel1"/>
    <w:basedOn w:val="berschrift1"/>
    <w:pPr>
      <w:jc w:val="center"/>
    </w:pPr>
    <w:rPr>
      <w:rFonts w:ascii="Verdana" w:hAnsi="Verdana"/>
      <w:b w:val="0"/>
      <w:bCs w:val="0"/>
      <w:sz w:val="40"/>
    </w:rPr>
  </w:style>
  <w:style w:type="paragraph" w:customStyle="1" w:styleId="Authors">
    <w:name w:val="Authors"/>
    <w:basedOn w:val="Standard"/>
    <w:pPr>
      <w:keepNext/>
      <w:jc w:val="center"/>
      <w:outlineLvl w:val="1"/>
    </w:pPr>
    <w:rPr>
      <w:rFonts w:ascii="Verdana" w:hAnsi="Verdana"/>
    </w:rPr>
  </w:style>
  <w:style w:type="paragraph" w:customStyle="1" w:styleId="abstract">
    <w:name w:val="abstract"/>
    <w:basedOn w:val="berschrift4"/>
  </w:style>
  <w:style w:type="paragraph" w:customStyle="1" w:styleId="Normaltext">
    <w:name w:val="Normal text"/>
    <w:basedOn w:val="Standard"/>
    <w:pPr>
      <w:spacing w:line="220" w:lineRule="atLeast"/>
      <w:jc w:val="both"/>
    </w:pPr>
    <w:rPr>
      <w:rFonts w:ascii="Verdana" w:hAnsi="Verdana"/>
      <w:sz w:val="16"/>
      <w:lang w:val="en-GB"/>
    </w:rPr>
  </w:style>
  <w:style w:type="paragraph" w:customStyle="1" w:styleId="berschrift11">
    <w:name w:val="Überschrift 11"/>
    <w:basedOn w:val="berschrift1"/>
    <w:pPr>
      <w:spacing w:after="40" w:line="220" w:lineRule="atLeast"/>
      <w:jc w:val="center"/>
    </w:pPr>
    <w:rPr>
      <w:rFonts w:ascii="Verdana" w:hAnsi="Verdana"/>
      <w:b w:val="0"/>
      <w:bCs w:val="0"/>
      <w:smallCaps/>
      <w:sz w:val="18"/>
      <w:lang w:val="en-GB"/>
    </w:rPr>
  </w:style>
  <w:style w:type="paragraph" w:styleId="Funotentext">
    <w:name w:val="footnote text"/>
    <w:basedOn w:val="Standard"/>
    <w:semiHidden/>
    <w:rPr>
      <w:sz w:val="20"/>
      <w:szCs w:val="20"/>
    </w:rPr>
  </w:style>
  <w:style w:type="character" w:styleId="Funotenzeichen">
    <w:name w:val="footnote reference"/>
    <w:semiHidden/>
    <w:rPr>
      <w:vertAlign w:val="superscript"/>
    </w:rPr>
  </w:style>
  <w:style w:type="paragraph" w:customStyle="1" w:styleId="Footnote">
    <w:name w:val="Foot note"/>
    <w:basedOn w:val="Funotentext"/>
    <w:pPr>
      <w:tabs>
        <w:tab w:val="left" w:pos="240"/>
      </w:tabs>
      <w:spacing w:line="160" w:lineRule="atLeast"/>
    </w:pPr>
    <w:rPr>
      <w:rFonts w:ascii="Verdana" w:hAnsi="Verdana"/>
      <w:sz w:val="12"/>
    </w:rPr>
  </w:style>
  <w:style w:type="character" w:styleId="Hyperlink">
    <w:name w:val="Hyperlink"/>
    <w:rPr>
      <w:color w:val="0000FF"/>
      <w:u w:val="single"/>
    </w:rPr>
  </w:style>
  <w:style w:type="paragraph" w:styleId="Textkrper">
    <w:name w:val="Body Text"/>
    <w:basedOn w:val="Standard"/>
    <w:pPr>
      <w:autoSpaceDE w:val="0"/>
      <w:autoSpaceDN w:val="0"/>
      <w:adjustRightInd w:val="0"/>
      <w:spacing w:line="220" w:lineRule="atLeast"/>
    </w:pPr>
    <w:rPr>
      <w:rFonts w:ascii="Verdana" w:hAnsi="Verdana"/>
      <w:sz w:val="16"/>
      <w:lang w:val="en-GB"/>
    </w:rPr>
  </w:style>
  <w:style w:type="paragraph" w:customStyle="1" w:styleId="Firstheading">
    <w:name w:val="First heading"/>
    <w:basedOn w:val="Standard"/>
    <w:pPr>
      <w:jc w:val="center"/>
    </w:pPr>
    <w:rPr>
      <w:rFonts w:ascii="Verdana" w:hAnsi="Verdana"/>
      <w:smallCaps/>
      <w:sz w:val="20"/>
      <w:lang w:val="en-US"/>
    </w:rPr>
  </w:style>
  <w:style w:type="paragraph" w:customStyle="1" w:styleId="Table">
    <w:name w:val="Table"/>
    <w:basedOn w:val="Normaltext"/>
    <w:pPr>
      <w:tabs>
        <w:tab w:val="left" w:pos="240"/>
      </w:tabs>
    </w:pPr>
    <w:rPr>
      <w:sz w:val="14"/>
    </w:rPr>
  </w:style>
  <w:style w:type="paragraph" w:styleId="Fuzeile">
    <w:name w:val="footer"/>
    <w:basedOn w:val="Standard"/>
    <w:rsid w:val="00CD5A2F"/>
    <w:pPr>
      <w:tabs>
        <w:tab w:val="center" w:pos="4536"/>
        <w:tab w:val="right" w:pos="9072"/>
      </w:tabs>
    </w:pPr>
  </w:style>
  <w:style w:type="character" w:styleId="Seitenzahl">
    <w:name w:val="page number"/>
    <w:basedOn w:val="Absatz-Standardschriftart"/>
    <w:rsid w:val="00CD5A2F"/>
  </w:style>
  <w:style w:type="paragraph" w:styleId="Kopfzeile">
    <w:name w:val="header"/>
    <w:basedOn w:val="Standard"/>
    <w:link w:val="KopfzeileZchn"/>
    <w:uiPriority w:val="99"/>
    <w:rsid w:val="00CD5A2F"/>
    <w:pPr>
      <w:tabs>
        <w:tab w:val="center" w:pos="4536"/>
        <w:tab w:val="right" w:pos="9072"/>
      </w:tabs>
    </w:pPr>
  </w:style>
  <w:style w:type="paragraph" w:styleId="Sprechblasentext">
    <w:name w:val="Balloon Text"/>
    <w:basedOn w:val="Standard"/>
    <w:semiHidden/>
    <w:rsid w:val="006C572F"/>
    <w:rPr>
      <w:rFonts w:ascii="Tahoma" w:hAnsi="Tahoma" w:cs="Tahoma"/>
      <w:sz w:val="16"/>
      <w:szCs w:val="16"/>
    </w:rPr>
  </w:style>
  <w:style w:type="character" w:styleId="Kommentarzeichen">
    <w:name w:val="annotation reference"/>
    <w:semiHidden/>
    <w:rsid w:val="002427DF"/>
    <w:rPr>
      <w:sz w:val="16"/>
      <w:szCs w:val="16"/>
    </w:rPr>
  </w:style>
  <w:style w:type="paragraph" w:styleId="Kommentartext">
    <w:name w:val="annotation text"/>
    <w:basedOn w:val="Standard"/>
    <w:semiHidden/>
    <w:rsid w:val="002427DF"/>
    <w:rPr>
      <w:sz w:val="20"/>
      <w:szCs w:val="20"/>
    </w:rPr>
  </w:style>
  <w:style w:type="paragraph" w:styleId="Kommentarthema">
    <w:name w:val="annotation subject"/>
    <w:basedOn w:val="Kommentartext"/>
    <w:next w:val="Kommentartext"/>
    <w:semiHidden/>
    <w:rsid w:val="002427DF"/>
    <w:rPr>
      <w:b/>
      <w:bCs/>
    </w:rPr>
  </w:style>
  <w:style w:type="table" w:styleId="Tabellenraster">
    <w:name w:val="Table Grid"/>
    <w:basedOn w:val="NormaleTabelle"/>
    <w:uiPriority w:val="59"/>
    <w:rsid w:val="001B519B"/>
    <w:rPr>
      <w:rFonts w:ascii="Cambria" w:eastAsia="MS Mincho" w:hAnsi="Cambria"/>
      <w:sz w:val="24"/>
      <w:szCs w:val="24"/>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link w:val="Kopfzeile"/>
    <w:uiPriority w:val="99"/>
    <w:rsid w:val="001B519B"/>
    <w:rPr>
      <w:rFonts w:ascii="Garamond" w:hAnsi="Garamond"/>
      <w:sz w:val="24"/>
      <w:szCs w:val="24"/>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946260">
      <w:bodyDiv w:val="1"/>
      <w:marLeft w:val="0"/>
      <w:marRight w:val="0"/>
      <w:marTop w:val="0"/>
      <w:marBottom w:val="0"/>
      <w:divBdr>
        <w:top w:val="none" w:sz="0" w:space="0" w:color="auto"/>
        <w:left w:val="none" w:sz="0" w:space="0" w:color="auto"/>
        <w:bottom w:val="none" w:sz="0" w:space="0" w:color="auto"/>
        <w:right w:val="none" w:sz="0" w:space="0" w:color="auto"/>
      </w:divBdr>
    </w:div>
    <w:div w:id="133091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ealthygrowth.e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mailto:rebecka.milestad@abe.kth.se" TargetMode="External"/><Relationship Id="rId1" Type="http://schemas.openxmlformats.org/officeDocument/2006/relationships/hyperlink" Target="mailto:susanne.vonMuenchhausen@hne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E7DBD-51AE-4E27-8040-30C8A4C62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1390</Words>
  <Characters>8759</Characters>
  <Application>Microsoft Office Word</Application>
  <DocSecurity>0</DocSecurity>
  <Lines>72</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Preparation and submission of extended ab-stracts for the Joint Organic Congress 2006</vt:lpstr>
      <vt:lpstr>Preparation and submission of extended ab-stracts for the Joint Organic Congress 2006</vt:lpstr>
    </vt:vector>
  </TitlesOfParts>
  <Company>DJF</Company>
  <LinksUpToDate>false</LinksUpToDate>
  <CharactersWithSpaces>10129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and submission of extended ab-stracts for the Joint Organic Congress 2006</dc:title>
  <dc:creator>lel</dc:creator>
  <cp:lastModifiedBy>von Münchhausen, Susanne</cp:lastModifiedBy>
  <cp:revision>4</cp:revision>
  <cp:lastPrinted>2015-04-29T11:21:00Z</cp:lastPrinted>
  <dcterms:created xsi:type="dcterms:W3CDTF">2015-04-30T22:17:00Z</dcterms:created>
  <dcterms:modified xsi:type="dcterms:W3CDTF">2015-05-05T10:03:00Z</dcterms:modified>
</cp:coreProperties>
</file>